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76CC70EE"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C431E1">
        <w:rPr>
          <w:b/>
          <w:sz w:val="24"/>
          <w:szCs w:val="24"/>
          <w:lang w:eastAsia="ko-KR"/>
        </w:rPr>
        <w:t>4</w:t>
      </w:r>
      <w:r w:rsidR="00AC6EB3">
        <w:rPr>
          <w:b/>
          <w:sz w:val="24"/>
          <w:szCs w:val="24"/>
          <w:lang w:eastAsia="ko-KR"/>
        </w:rPr>
        <w:t>e</w:t>
      </w:r>
      <w:r w:rsidRPr="00C41855">
        <w:rPr>
          <w:rFonts w:hint="eastAsia"/>
          <w:b/>
          <w:sz w:val="24"/>
          <w:szCs w:val="24"/>
        </w:rPr>
        <w:tab/>
      </w:r>
      <w:r w:rsidR="0091640D" w:rsidRPr="0091640D">
        <w:rPr>
          <w:b/>
          <w:sz w:val="24"/>
          <w:szCs w:val="24"/>
        </w:rPr>
        <w:t>R1-2</w:t>
      </w:r>
      <w:r w:rsidR="006B17B9">
        <w:rPr>
          <w:b/>
          <w:sz w:val="24"/>
          <w:szCs w:val="24"/>
        </w:rPr>
        <w:t>1</w:t>
      </w:r>
      <w:r w:rsidR="00B97CFE">
        <w:rPr>
          <w:b/>
          <w:sz w:val="24"/>
          <w:szCs w:val="24"/>
        </w:rPr>
        <w:t>00779</w:t>
      </w:r>
    </w:p>
    <w:p w14:paraId="12AD8480" w14:textId="121EB106" w:rsidR="000C76CE" w:rsidRPr="00C41855" w:rsidRDefault="006B17B9" w:rsidP="006F7EFD">
      <w:pPr>
        <w:pStyle w:val="CRCoverPage"/>
        <w:outlineLvl w:val="0"/>
        <w:rPr>
          <w:b/>
          <w:noProof/>
          <w:sz w:val="24"/>
          <w:szCs w:val="24"/>
        </w:rPr>
      </w:pPr>
      <w:r>
        <w:rPr>
          <w:rFonts w:eastAsia="MS Mincho" w:cs="Arial"/>
          <w:b/>
          <w:bCs/>
          <w:sz w:val="24"/>
          <w:szCs w:val="24"/>
          <w:lang w:eastAsia="ja-JP"/>
        </w:rPr>
        <w:t xml:space="preserve">e-Meeting, </w:t>
      </w:r>
      <w:r w:rsidR="00C431E1">
        <w:rPr>
          <w:rFonts w:eastAsia="MS Mincho" w:cs="Arial"/>
          <w:b/>
          <w:bCs/>
          <w:sz w:val="24"/>
          <w:szCs w:val="24"/>
          <w:lang w:eastAsia="ja-JP"/>
        </w:rPr>
        <w:t>January</w:t>
      </w:r>
      <w:r w:rsidR="009B678F" w:rsidRPr="00C41855">
        <w:rPr>
          <w:rFonts w:eastAsia="MS Mincho" w:cs="Arial"/>
          <w:b/>
          <w:bCs/>
          <w:sz w:val="24"/>
          <w:szCs w:val="24"/>
          <w:lang w:eastAsia="ja-JP"/>
        </w:rPr>
        <w:t xml:space="preserve"> </w:t>
      </w:r>
      <w:r w:rsidR="00AC6EB3">
        <w:rPr>
          <w:rFonts w:eastAsia="MS Mincho" w:cs="Arial"/>
          <w:b/>
          <w:bCs/>
          <w:sz w:val="24"/>
          <w:szCs w:val="24"/>
          <w:lang w:eastAsia="ja-JP"/>
        </w:rPr>
        <w:t>2</w:t>
      </w:r>
      <w:r>
        <w:rPr>
          <w:rFonts w:eastAsia="MS Mincho" w:cs="Arial"/>
          <w:b/>
          <w:bCs/>
          <w:sz w:val="24"/>
          <w:szCs w:val="24"/>
          <w:lang w:eastAsia="ja-JP"/>
        </w:rPr>
        <w:t>5</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 </w:t>
      </w:r>
      <w:r>
        <w:rPr>
          <w:rFonts w:eastAsia="MS Mincho" w:cs="Arial"/>
          <w:b/>
          <w:bCs/>
          <w:sz w:val="24"/>
          <w:szCs w:val="24"/>
          <w:lang w:eastAsia="ja-JP"/>
        </w:rPr>
        <w:t>February</w:t>
      </w:r>
      <w:r w:rsidR="00AC6EB3">
        <w:rPr>
          <w:rFonts w:eastAsia="MS Mincho" w:cs="Arial"/>
          <w:b/>
          <w:bCs/>
          <w:sz w:val="24"/>
          <w:szCs w:val="24"/>
          <w:lang w:eastAsia="ja-JP"/>
        </w:rPr>
        <w:t xml:space="preserve"> </w:t>
      </w:r>
      <w:r>
        <w:rPr>
          <w:rFonts w:eastAsia="MS Mincho" w:cs="Arial"/>
          <w:b/>
          <w:bCs/>
          <w:sz w:val="24"/>
          <w:szCs w:val="24"/>
          <w:lang w:eastAsia="ja-JP"/>
        </w:rPr>
        <w:t>5</w:t>
      </w:r>
      <w:r w:rsidR="00AC6EB3"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w:t>
      </w:r>
      <w:r>
        <w:rPr>
          <w:rFonts w:eastAsia="MS Mincho" w:cs="Arial"/>
          <w:b/>
          <w:bCs/>
          <w:sz w:val="24"/>
          <w:szCs w:val="24"/>
          <w:lang w:eastAsia="ja-JP"/>
        </w:rPr>
        <w:t>1</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591BFC79"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B17B9">
        <w:rPr>
          <w:rFonts w:ascii="Arial" w:hAnsi="Arial" w:cs="Arial"/>
          <w:color w:val="000000"/>
          <w:sz w:val="22"/>
          <w:szCs w:val="22"/>
        </w:rPr>
        <w:t>Enhancements on Multi-Beam Operations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2AA7608B" w:rsidR="0091094E" w:rsidRPr="006B17B9" w:rsidRDefault="0091094E" w:rsidP="0091094E">
      <w:pPr>
        <w:spacing w:after="0" w:line="264" w:lineRule="auto"/>
        <w:ind w:firstLineChars="0" w:firstLine="0"/>
        <w:rPr>
          <w:rFonts w:ascii="Calibri" w:hAnsi="Calibri" w:cs="Calibri"/>
        </w:rPr>
      </w:pPr>
      <w:bookmarkStart w:id="0" w:name="_Hlk22834419"/>
      <w:r w:rsidRPr="006B17B9">
        <w:rPr>
          <w:rFonts w:ascii="Calibri" w:hAnsi="Calibri" w:cs="Calibri"/>
        </w:rPr>
        <w:t>A WI [1] was agreed in RAN#86 for further enhancements on MIMO for NR. The detailed objectives on enhancements on multi</w:t>
      </w:r>
      <w:r w:rsidR="00E53F67" w:rsidRPr="006B17B9">
        <w:rPr>
          <w:rFonts w:ascii="Calibri" w:hAnsi="Calibri" w:cs="Calibri"/>
        </w:rPr>
        <w:t>-</w:t>
      </w:r>
      <w:r w:rsidRPr="006B17B9">
        <w:rPr>
          <w:rFonts w:ascii="Calibri" w:hAnsi="Calibri" w:cs="Calibri"/>
        </w:rPr>
        <w:t>beam operation are as follows:</w:t>
      </w:r>
    </w:p>
    <w:p w14:paraId="7F951401" w14:textId="77777777" w:rsidR="0091094E" w:rsidRPr="006B17B9" w:rsidRDefault="0091094E" w:rsidP="0091094E">
      <w:pPr>
        <w:pStyle w:val="ListParagraph"/>
        <w:numPr>
          <w:ilvl w:val="0"/>
          <w:numId w:val="24"/>
        </w:numPr>
        <w:spacing w:before="0" w:line="264" w:lineRule="auto"/>
        <w:ind w:firstLineChars="0" w:firstLine="180"/>
        <w:rPr>
          <w:rFonts w:cs="Calibri"/>
          <w:sz w:val="20"/>
          <w:szCs w:val="20"/>
        </w:rPr>
      </w:pPr>
      <w:r w:rsidRPr="006B17B9">
        <w:rPr>
          <w:rFonts w:cs="Calibri"/>
          <w:sz w:val="20"/>
          <w:szCs w:val="20"/>
        </w:rPr>
        <w:t xml:space="preserve">Enhancement on multi-beam operation, mainly targeting FR2 while also applicable to FR1: </w:t>
      </w:r>
    </w:p>
    <w:p w14:paraId="152D6DDE" w14:textId="77777777" w:rsidR="0091094E" w:rsidRPr="006B17B9" w:rsidRDefault="0091094E" w:rsidP="0091094E">
      <w:pPr>
        <w:pStyle w:val="ListParagraph"/>
        <w:numPr>
          <w:ilvl w:val="1"/>
          <w:numId w:val="24"/>
        </w:numPr>
        <w:spacing w:before="0" w:line="264" w:lineRule="auto"/>
        <w:ind w:firstLineChars="0" w:firstLine="180"/>
        <w:rPr>
          <w:rFonts w:cs="Calibri"/>
          <w:sz w:val="20"/>
          <w:szCs w:val="20"/>
        </w:rPr>
      </w:pPr>
      <w:r w:rsidRPr="006B17B9">
        <w:rPr>
          <w:rFonts w:cs="Calibri"/>
          <w:sz w:val="20"/>
          <w:szCs w:val="20"/>
        </w:rPr>
        <w:t>Identify and specify features to facilitate more efficient (lower latency and overhead) DL/UL beam management to support higher intra- and L1/L2-centric inter-cell mobility and/or a larger number of configured TCI states:</w:t>
      </w:r>
    </w:p>
    <w:p w14:paraId="0ADC88BC" w14:textId="77777777" w:rsidR="0091094E" w:rsidRPr="006B17B9" w:rsidRDefault="0091094E" w:rsidP="0091094E">
      <w:pPr>
        <w:pStyle w:val="ListParagraph"/>
        <w:numPr>
          <w:ilvl w:val="2"/>
          <w:numId w:val="23"/>
        </w:numPr>
        <w:spacing w:before="0" w:line="264" w:lineRule="auto"/>
        <w:ind w:left="2160" w:firstLineChars="0" w:firstLine="180"/>
        <w:rPr>
          <w:rFonts w:cs="Calibri"/>
          <w:sz w:val="20"/>
          <w:szCs w:val="20"/>
        </w:rPr>
      </w:pPr>
      <w:r w:rsidRPr="006B17B9">
        <w:rPr>
          <w:rFonts w:cs="Calibri"/>
          <w:sz w:val="20"/>
          <w:szCs w:val="20"/>
        </w:rPr>
        <w:t>Common beam for data and control transmission/reception for DL and UL, especially for intra-band CA</w:t>
      </w:r>
    </w:p>
    <w:p w14:paraId="497658C8" w14:textId="77777777" w:rsidR="0091094E" w:rsidRPr="006B17B9" w:rsidRDefault="0091094E" w:rsidP="0091094E">
      <w:pPr>
        <w:pStyle w:val="ListParagraph"/>
        <w:numPr>
          <w:ilvl w:val="2"/>
          <w:numId w:val="23"/>
        </w:numPr>
        <w:spacing w:before="0" w:line="264" w:lineRule="auto"/>
        <w:ind w:left="2160" w:firstLineChars="0" w:firstLine="180"/>
        <w:rPr>
          <w:rFonts w:cs="Calibri"/>
          <w:sz w:val="20"/>
          <w:szCs w:val="20"/>
        </w:rPr>
      </w:pPr>
      <w:r w:rsidRPr="006B17B9">
        <w:rPr>
          <w:rFonts w:cs="Calibri"/>
          <w:sz w:val="20"/>
          <w:szCs w:val="20"/>
        </w:rPr>
        <w:t>Unified TCI framework for DL and UL beam indication</w:t>
      </w:r>
    </w:p>
    <w:p w14:paraId="5C38CB3E" w14:textId="77777777" w:rsidR="0091094E" w:rsidRPr="006B17B9" w:rsidRDefault="0091094E" w:rsidP="0091094E">
      <w:pPr>
        <w:pStyle w:val="ListParagraph"/>
        <w:numPr>
          <w:ilvl w:val="2"/>
          <w:numId w:val="23"/>
        </w:numPr>
        <w:spacing w:before="0" w:line="264" w:lineRule="auto"/>
        <w:ind w:left="2160" w:firstLineChars="0" w:firstLine="180"/>
        <w:rPr>
          <w:rFonts w:cs="Calibri"/>
          <w:sz w:val="20"/>
          <w:szCs w:val="20"/>
        </w:rPr>
      </w:pPr>
      <w:r w:rsidRPr="006B17B9">
        <w:rPr>
          <w:rFonts w:cs="Calibri"/>
          <w:sz w:val="20"/>
          <w:szCs w:val="20"/>
        </w:rPr>
        <w:t>Enhancement on signaling mechanisms for the above features to improve latency and efficiency with more usage of dynamic control signaling (as opposed to RRC)</w:t>
      </w:r>
    </w:p>
    <w:p w14:paraId="09D9FA85" w14:textId="77777777" w:rsidR="0091094E" w:rsidRPr="006B17B9" w:rsidRDefault="0091094E" w:rsidP="0091094E">
      <w:pPr>
        <w:pStyle w:val="ListParagraph"/>
        <w:numPr>
          <w:ilvl w:val="1"/>
          <w:numId w:val="23"/>
        </w:numPr>
        <w:spacing w:before="0" w:line="264" w:lineRule="auto"/>
        <w:ind w:firstLineChars="0" w:firstLine="180"/>
        <w:rPr>
          <w:rFonts w:cs="Calibri"/>
          <w:sz w:val="20"/>
          <w:szCs w:val="20"/>
          <w:lang w:val="en-GB"/>
        </w:rPr>
      </w:pPr>
      <w:r w:rsidRPr="006B17B9">
        <w:rPr>
          <w:rFonts w:cs="Calibri"/>
          <w:sz w:val="20"/>
          <w:szCs w:val="20"/>
        </w:rPr>
        <w:t>Identify and specify features to facilitate UL beam selection for UEs equipped with multiple panels, considering UL coverage loss mitigation due to MPE, based on UL beam indication with the unified TCI framework for UL fast panel selection</w:t>
      </w:r>
    </w:p>
    <w:p w14:paraId="772897C6" w14:textId="77777777" w:rsidR="0091094E" w:rsidRPr="006B17B9" w:rsidRDefault="0091094E" w:rsidP="008A1D15">
      <w:pPr>
        <w:spacing w:before="0" w:after="0" w:line="240" w:lineRule="auto"/>
        <w:ind w:firstLineChars="0" w:firstLine="0"/>
        <w:rPr>
          <w:rFonts w:ascii="Calibri" w:hAnsi="Calibri" w:cs="Calibri"/>
        </w:rPr>
      </w:pPr>
    </w:p>
    <w:p w14:paraId="6A2D8151" w14:textId="1877713C" w:rsidR="00AC6EB3" w:rsidRPr="006B17B9" w:rsidRDefault="00E53F67" w:rsidP="008A1D15">
      <w:pPr>
        <w:spacing w:before="0" w:after="0" w:line="240" w:lineRule="auto"/>
        <w:ind w:firstLineChars="0" w:firstLine="0"/>
        <w:rPr>
          <w:rFonts w:ascii="Calibri" w:hAnsi="Calibri" w:cs="Calibri"/>
        </w:rPr>
      </w:pPr>
      <w:r w:rsidRPr="006B17B9">
        <w:rPr>
          <w:rFonts w:ascii="Calibri" w:hAnsi="Calibri" w:cs="Calibri"/>
        </w:rPr>
        <w:t>In</w:t>
      </w:r>
      <w:r w:rsidR="0091094E" w:rsidRPr="006B17B9">
        <w:rPr>
          <w:rFonts w:ascii="Calibri" w:hAnsi="Calibri" w:cs="Calibri"/>
        </w:rPr>
        <w:t xml:space="preserve"> RAN1#102e</w:t>
      </w:r>
      <w:r w:rsidRPr="006B17B9">
        <w:rPr>
          <w:rFonts w:ascii="Calibri" w:hAnsi="Calibri" w:cs="Calibri"/>
        </w:rPr>
        <w:t xml:space="preserve"> [2]</w:t>
      </w:r>
      <w:r w:rsidR="0091094E" w:rsidRPr="006B17B9">
        <w:rPr>
          <w:rFonts w:ascii="Calibri" w:hAnsi="Calibri" w:cs="Calibri"/>
        </w:rPr>
        <w:t xml:space="preserve">, </w:t>
      </w:r>
      <w:r w:rsidR="006B17B9" w:rsidRPr="006B17B9">
        <w:rPr>
          <w:rFonts w:ascii="Calibri" w:hAnsi="Calibri" w:cs="Calibri"/>
        </w:rPr>
        <w:t>the multi-beam enhancement topics in Rel. 17 were categorized into six issues as follows.</w:t>
      </w:r>
    </w:p>
    <w:p w14:paraId="0AE35E59" w14:textId="77777777" w:rsidR="0091094E" w:rsidRPr="006B17B9" w:rsidRDefault="0091094E" w:rsidP="008A1D15">
      <w:pPr>
        <w:spacing w:before="0" w:after="0" w:line="240" w:lineRule="auto"/>
        <w:ind w:firstLineChars="0" w:firstLine="0"/>
        <w:rPr>
          <w:rFonts w:ascii="Calibri" w:hAnsi="Calibri" w:cs="Calibri"/>
        </w:rPr>
      </w:pPr>
    </w:p>
    <w:bookmarkEnd w:id="0"/>
    <w:p w14:paraId="5EF21D9D" w14:textId="7613A80A" w:rsidR="003B6AF5" w:rsidRPr="006B17B9" w:rsidRDefault="003B6AF5" w:rsidP="006B17B9">
      <w:pPr>
        <w:pStyle w:val="ListParagraph"/>
        <w:numPr>
          <w:ilvl w:val="0"/>
          <w:numId w:val="22"/>
        </w:numPr>
        <w:snapToGrid w:val="0"/>
        <w:spacing w:before="0" w:line="240" w:lineRule="auto"/>
        <w:ind w:firstLineChars="0"/>
        <w:contextualSpacing/>
        <w:jc w:val="left"/>
        <w:rPr>
          <w:rFonts w:cs="Calibri"/>
          <w:sz w:val="20"/>
          <w:szCs w:val="20"/>
        </w:rPr>
      </w:pPr>
      <w:r w:rsidRPr="006B17B9">
        <w:rPr>
          <w:rFonts w:cs="Calibri"/>
          <w:sz w:val="20"/>
          <w:szCs w:val="20"/>
        </w:rPr>
        <w:t xml:space="preserve">[Issue 1] </w:t>
      </w:r>
      <w:r w:rsidR="006B17B9" w:rsidRPr="006B17B9">
        <w:rPr>
          <w:rFonts w:cs="Calibri"/>
          <w:sz w:val="20"/>
          <w:szCs w:val="20"/>
        </w:rPr>
        <w:t>U</w:t>
      </w:r>
      <w:r w:rsidRPr="006B17B9">
        <w:rPr>
          <w:rFonts w:cs="Calibri"/>
          <w:sz w:val="20"/>
          <w:szCs w:val="20"/>
        </w:rPr>
        <w:t>nified TCI framework</w:t>
      </w:r>
    </w:p>
    <w:p w14:paraId="0966FBF0" w14:textId="25FE7749" w:rsidR="003B6AF5" w:rsidRPr="006B17B9" w:rsidRDefault="003B6AF5" w:rsidP="003B6AF5">
      <w:pPr>
        <w:pStyle w:val="ListParagraph"/>
        <w:numPr>
          <w:ilvl w:val="0"/>
          <w:numId w:val="22"/>
        </w:numPr>
        <w:snapToGrid w:val="0"/>
        <w:spacing w:before="0" w:line="240" w:lineRule="auto"/>
        <w:ind w:firstLineChars="0"/>
        <w:contextualSpacing/>
        <w:jc w:val="left"/>
        <w:rPr>
          <w:rFonts w:cs="Calibri"/>
          <w:sz w:val="20"/>
          <w:szCs w:val="20"/>
        </w:rPr>
      </w:pPr>
      <w:r w:rsidRPr="006B17B9">
        <w:rPr>
          <w:rFonts w:cs="Calibri"/>
          <w:sz w:val="20"/>
          <w:szCs w:val="20"/>
        </w:rPr>
        <w:t xml:space="preserve">[Issue 2] L1/L2-centric inter-cell mobility </w:t>
      </w:r>
    </w:p>
    <w:p w14:paraId="4B28DF98" w14:textId="68451BC9" w:rsidR="003B6AF5" w:rsidRPr="006B17B9" w:rsidRDefault="003B6AF5" w:rsidP="003B6AF5">
      <w:pPr>
        <w:pStyle w:val="ListParagraph"/>
        <w:numPr>
          <w:ilvl w:val="0"/>
          <w:numId w:val="22"/>
        </w:numPr>
        <w:snapToGrid w:val="0"/>
        <w:spacing w:before="0" w:line="240" w:lineRule="auto"/>
        <w:ind w:firstLineChars="0"/>
        <w:contextualSpacing/>
        <w:jc w:val="left"/>
        <w:rPr>
          <w:rFonts w:cs="Calibri"/>
          <w:sz w:val="20"/>
          <w:szCs w:val="20"/>
        </w:rPr>
      </w:pPr>
      <w:r w:rsidRPr="006B17B9">
        <w:rPr>
          <w:rFonts w:cs="Calibri"/>
          <w:sz w:val="20"/>
          <w:szCs w:val="20"/>
        </w:rPr>
        <w:t>[Issue 3]</w:t>
      </w:r>
      <w:r w:rsidR="006B17B9" w:rsidRPr="006B17B9">
        <w:rPr>
          <w:rFonts w:cs="Calibri"/>
          <w:sz w:val="20"/>
          <w:szCs w:val="20"/>
        </w:rPr>
        <w:t xml:space="preserve"> D</w:t>
      </w:r>
      <w:r w:rsidRPr="006B17B9">
        <w:rPr>
          <w:rFonts w:cs="Calibri"/>
          <w:sz w:val="20"/>
          <w:szCs w:val="20"/>
        </w:rPr>
        <w:t xml:space="preserve">ynamic TCI state update signaling medium: </w:t>
      </w:r>
    </w:p>
    <w:p w14:paraId="67A2F27C" w14:textId="35254358" w:rsidR="003B6AF5" w:rsidRPr="006B17B9" w:rsidRDefault="003B6AF5" w:rsidP="003B6AF5">
      <w:pPr>
        <w:pStyle w:val="ListParagraph"/>
        <w:numPr>
          <w:ilvl w:val="0"/>
          <w:numId w:val="22"/>
        </w:numPr>
        <w:snapToGrid w:val="0"/>
        <w:spacing w:before="0" w:line="240" w:lineRule="auto"/>
        <w:ind w:firstLineChars="0"/>
        <w:contextualSpacing/>
        <w:jc w:val="left"/>
        <w:rPr>
          <w:rFonts w:cs="Calibri"/>
          <w:sz w:val="20"/>
          <w:szCs w:val="20"/>
        </w:rPr>
      </w:pPr>
      <w:r w:rsidRPr="006B17B9">
        <w:rPr>
          <w:rFonts w:cs="Calibri"/>
          <w:sz w:val="20"/>
          <w:szCs w:val="20"/>
        </w:rPr>
        <w:t>[Issue 4] MP-UE assumption to facilitate fast UL panel selection</w:t>
      </w:r>
    </w:p>
    <w:p w14:paraId="626688A1" w14:textId="59A73DC6" w:rsidR="006B17B9" w:rsidRPr="006B17B9" w:rsidRDefault="003B6AF5" w:rsidP="006B17B9">
      <w:pPr>
        <w:pStyle w:val="ListParagraph"/>
        <w:numPr>
          <w:ilvl w:val="0"/>
          <w:numId w:val="22"/>
        </w:numPr>
        <w:snapToGrid w:val="0"/>
        <w:spacing w:before="0" w:line="240" w:lineRule="auto"/>
        <w:ind w:firstLineChars="0"/>
        <w:contextualSpacing/>
        <w:jc w:val="left"/>
        <w:rPr>
          <w:rFonts w:cs="Calibri"/>
          <w:sz w:val="20"/>
          <w:szCs w:val="20"/>
        </w:rPr>
      </w:pPr>
      <w:r w:rsidRPr="006B17B9">
        <w:rPr>
          <w:rFonts w:cs="Calibri"/>
          <w:sz w:val="20"/>
          <w:szCs w:val="20"/>
        </w:rPr>
        <w:t xml:space="preserve">[Issue 5] MPE mitigation </w:t>
      </w:r>
    </w:p>
    <w:p w14:paraId="488DC67F" w14:textId="10D36FD5" w:rsidR="003B6AF5" w:rsidRPr="006B17B9" w:rsidRDefault="003B6AF5" w:rsidP="006B17B9">
      <w:pPr>
        <w:pStyle w:val="ListParagraph"/>
        <w:numPr>
          <w:ilvl w:val="0"/>
          <w:numId w:val="22"/>
        </w:numPr>
        <w:snapToGrid w:val="0"/>
        <w:spacing w:before="0" w:line="240" w:lineRule="auto"/>
        <w:ind w:firstLineChars="0"/>
        <w:contextualSpacing/>
        <w:jc w:val="left"/>
        <w:rPr>
          <w:rFonts w:cs="Calibri"/>
          <w:sz w:val="20"/>
          <w:szCs w:val="20"/>
        </w:rPr>
      </w:pPr>
      <w:r w:rsidRPr="006B17B9">
        <w:rPr>
          <w:rFonts w:cs="Calibri"/>
          <w:sz w:val="20"/>
          <w:szCs w:val="20"/>
        </w:rPr>
        <w:t xml:space="preserve">[Issue 6] </w:t>
      </w:r>
      <w:r w:rsidR="006B17B9" w:rsidRPr="006B17B9">
        <w:rPr>
          <w:rFonts w:cs="Calibri"/>
          <w:sz w:val="20"/>
          <w:szCs w:val="20"/>
        </w:rPr>
        <w:t>Other enhancements</w:t>
      </w:r>
    </w:p>
    <w:p w14:paraId="33695C45" w14:textId="77777777" w:rsidR="003B6AF5" w:rsidRPr="006B17B9" w:rsidRDefault="003B6AF5" w:rsidP="00682F0E">
      <w:pPr>
        <w:spacing w:before="0" w:after="0" w:line="240" w:lineRule="auto"/>
        <w:ind w:firstLineChars="0" w:firstLine="0"/>
        <w:jc w:val="left"/>
        <w:rPr>
          <w:rFonts w:ascii="Calibri" w:eastAsia="DengXian" w:hAnsi="Calibri" w:cs="Calibri"/>
          <w:lang w:eastAsia="zh-CN"/>
        </w:rPr>
      </w:pPr>
    </w:p>
    <w:p w14:paraId="2D5E8D98" w14:textId="33940D75" w:rsidR="003B6AF5" w:rsidRPr="006B17B9" w:rsidRDefault="00015439" w:rsidP="00682F0E">
      <w:pPr>
        <w:spacing w:before="0" w:after="0" w:line="240" w:lineRule="auto"/>
        <w:ind w:firstLineChars="0" w:firstLine="0"/>
        <w:jc w:val="left"/>
        <w:rPr>
          <w:rFonts w:ascii="Calibri" w:eastAsia="DengXian" w:hAnsi="Calibri" w:cs="Calibri"/>
          <w:lang w:eastAsia="zh-CN"/>
        </w:rPr>
      </w:pPr>
      <w:r w:rsidRPr="006B17B9">
        <w:rPr>
          <w:rFonts w:ascii="Calibri" w:eastAsia="DengXian" w:hAnsi="Calibri" w:cs="Calibri"/>
          <w:lang w:eastAsia="zh-CN"/>
        </w:rPr>
        <w:t xml:space="preserve">In this contribution, we </w:t>
      </w:r>
      <w:r w:rsidR="003B6AF5" w:rsidRPr="006B17B9">
        <w:rPr>
          <w:rFonts w:ascii="Calibri" w:eastAsia="DengXian" w:hAnsi="Calibri" w:cs="Calibri"/>
          <w:lang w:eastAsia="zh-CN"/>
        </w:rPr>
        <w:t xml:space="preserve">present our views on the </w:t>
      </w:r>
      <w:r w:rsidR="006B17B9" w:rsidRPr="006B17B9">
        <w:rPr>
          <w:rFonts w:ascii="Calibri" w:eastAsia="DengXian" w:hAnsi="Calibri" w:cs="Calibri"/>
          <w:lang w:eastAsia="zh-CN"/>
        </w:rPr>
        <w:t>remaining topics for the identified</w:t>
      </w:r>
      <w:r w:rsidR="006C2E1D" w:rsidRPr="006B17B9">
        <w:rPr>
          <w:rFonts w:ascii="Calibri" w:eastAsia="DengXian" w:hAnsi="Calibri" w:cs="Calibri"/>
          <w:lang w:eastAsia="zh-CN"/>
        </w:rPr>
        <w:t xml:space="preserve"> issues</w:t>
      </w:r>
      <w:r w:rsidR="003B6AF5" w:rsidRPr="006B17B9">
        <w:rPr>
          <w:rFonts w:ascii="Calibri" w:eastAsia="DengXian" w:hAnsi="Calibri" w:cs="Calibri"/>
          <w:lang w:eastAsia="zh-CN"/>
        </w:rPr>
        <w:t xml:space="preserve"> related to joint TCI framework on the UL and DL</w:t>
      </w:r>
      <w:r w:rsidR="000347A3">
        <w:rPr>
          <w:rFonts w:ascii="Calibri" w:eastAsia="DengXian" w:hAnsi="Calibri" w:cs="Calibri"/>
          <w:lang w:eastAsia="zh-CN"/>
        </w:rPr>
        <w:t xml:space="preserve">, </w:t>
      </w:r>
      <w:r w:rsidR="006C2E1D" w:rsidRPr="006B17B9">
        <w:rPr>
          <w:rFonts w:ascii="Calibri" w:eastAsia="DengXian" w:hAnsi="Calibri" w:cs="Calibri"/>
          <w:lang w:eastAsia="zh-CN"/>
        </w:rPr>
        <w:t>MP-UE fast selection and beam tracking improvements.</w:t>
      </w:r>
    </w:p>
    <w:p w14:paraId="5F4259E1"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01BB1AD2" w14:textId="4319E8B4" w:rsidR="003B6AF5" w:rsidRDefault="006B17B9" w:rsidP="00990115">
      <w:pPr>
        <w:pStyle w:val="Heading1"/>
      </w:pPr>
      <w:r>
        <w:t xml:space="preserve">[Issue 1] </w:t>
      </w:r>
      <w:r w:rsidR="0091094E">
        <w:t>Unified TCI Framework</w:t>
      </w:r>
    </w:p>
    <w:p w14:paraId="4EE76ACD" w14:textId="77777777" w:rsidR="008B6E6A" w:rsidRPr="006B17B9" w:rsidRDefault="008B6E6A" w:rsidP="008B6E6A">
      <w:pPr>
        <w:snapToGrid w:val="0"/>
        <w:spacing w:before="0" w:line="264" w:lineRule="auto"/>
        <w:ind w:firstLineChars="0" w:firstLine="0"/>
        <w:contextualSpacing/>
        <w:jc w:val="left"/>
        <w:rPr>
          <w:rFonts w:ascii="Calibri" w:hAnsi="Calibri" w:cs="Calibri"/>
        </w:rPr>
      </w:pPr>
    </w:p>
    <w:p w14:paraId="53122D27" w14:textId="78D7FB03" w:rsidR="00AD2EBB" w:rsidRDefault="008B6E6A" w:rsidP="008B6E6A">
      <w:pPr>
        <w:snapToGrid w:val="0"/>
        <w:spacing w:before="0" w:line="264" w:lineRule="auto"/>
        <w:ind w:firstLineChars="0" w:firstLine="0"/>
        <w:contextualSpacing/>
        <w:jc w:val="left"/>
        <w:rPr>
          <w:rFonts w:ascii="Calibri" w:hAnsi="Calibri" w:cs="Calibri"/>
        </w:rPr>
      </w:pPr>
      <w:r w:rsidRPr="006B17B9">
        <w:rPr>
          <w:rFonts w:ascii="Calibri" w:hAnsi="Calibri" w:cs="Calibri"/>
        </w:rPr>
        <w:t>In RAN1#102e</w:t>
      </w:r>
      <w:r w:rsidR="00DE1A6A">
        <w:rPr>
          <w:rFonts w:ascii="Calibri" w:hAnsi="Calibri" w:cs="Calibri"/>
        </w:rPr>
        <w:t xml:space="preserve"> [2]</w:t>
      </w:r>
      <w:r w:rsidRPr="006B17B9">
        <w:rPr>
          <w:rFonts w:ascii="Calibri" w:hAnsi="Calibri" w:cs="Calibri"/>
        </w:rPr>
        <w:t>, an agreement has been made to support a joint TCI for DL and U</w:t>
      </w:r>
      <w:r w:rsidR="002105A9">
        <w:rPr>
          <w:rFonts w:ascii="Calibri" w:hAnsi="Calibri" w:cs="Calibri"/>
        </w:rPr>
        <w:t xml:space="preserve">L based on and analogous to Rel. 15/16 DL TCI framework whereas the source reference signal(s) in M TCIs provide common QCL information at least for UE-dedicated reception on PDSCH and all or subset of CORESETs in a CC. </w:t>
      </w:r>
      <w:r w:rsidR="00F75ED2">
        <w:rPr>
          <w:rFonts w:ascii="Calibri" w:hAnsi="Calibri" w:cs="Calibri"/>
        </w:rPr>
        <w:t xml:space="preserve">It was left as a working assumption whether the value of M is 1 or greater than 1. </w:t>
      </w:r>
    </w:p>
    <w:p w14:paraId="710C8303" w14:textId="77777777" w:rsidR="00AD2EBB" w:rsidRDefault="00AD2EBB" w:rsidP="008B6E6A">
      <w:pPr>
        <w:snapToGrid w:val="0"/>
        <w:spacing w:before="0" w:line="264" w:lineRule="auto"/>
        <w:ind w:firstLineChars="0" w:firstLine="0"/>
        <w:contextualSpacing/>
        <w:jc w:val="left"/>
        <w:rPr>
          <w:rFonts w:ascii="Calibri" w:hAnsi="Calibri" w:cs="Calibri"/>
        </w:rPr>
      </w:pPr>
    </w:p>
    <w:p w14:paraId="0DDF42A8" w14:textId="77777777" w:rsidR="00AD2EBB" w:rsidRPr="00F25C11" w:rsidRDefault="00AD2EBB" w:rsidP="00AD2EBB">
      <w:pPr>
        <w:snapToGrid w:val="0"/>
        <w:spacing w:line="240" w:lineRule="auto"/>
        <w:ind w:firstLine="180"/>
        <w:contextualSpacing/>
        <w:rPr>
          <w:sz w:val="18"/>
        </w:rPr>
      </w:pPr>
      <w:r w:rsidRPr="00F25C11">
        <w:rPr>
          <w:sz w:val="18"/>
        </w:rPr>
        <w:t xml:space="preserve">Support joint TCI for DL and UL based on and analogous to </w:t>
      </w:r>
      <w:bookmarkStart w:id="1" w:name="_Hlk53730707"/>
      <w:r w:rsidRPr="00F25C11">
        <w:rPr>
          <w:sz w:val="18"/>
        </w:rPr>
        <w:t>Rel.15/16 DL TCI framework</w:t>
      </w:r>
      <w:bookmarkEnd w:id="1"/>
    </w:p>
    <w:p w14:paraId="490CEFA3" w14:textId="77777777" w:rsidR="00AD2EBB" w:rsidRPr="00F25C11" w:rsidRDefault="00AD2EBB" w:rsidP="00AD2EBB">
      <w:pPr>
        <w:pStyle w:val="ListParagraph"/>
        <w:numPr>
          <w:ilvl w:val="0"/>
          <w:numId w:val="22"/>
        </w:numPr>
        <w:snapToGrid w:val="0"/>
        <w:spacing w:before="0" w:line="240" w:lineRule="auto"/>
        <w:ind w:firstLineChars="0" w:firstLine="200"/>
        <w:contextualSpacing/>
        <w:jc w:val="left"/>
        <w:rPr>
          <w:rFonts w:ascii="Times New Roman" w:hAnsi="Times New Roman"/>
          <w:sz w:val="18"/>
          <w:szCs w:val="18"/>
        </w:rPr>
      </w:pPr>
      <w:r w:rsidRPr="00F25C11">
        <w:rPr>
          <w:rFonts w:ascii="Times New Roman" w:hAnsi="Times New Roman"/>
          <w:sz w:val="18"/>
          <w:szCs w:val="18"/>
        </w:rPr>
        <w:t xml:space="preserve">The term “TCI” at least comprises a TCI state that </w:t>
      </w:r>
      <w:r w:rsidRPr="00F25C11">
        <w:rPr>
          <w:rFonts w:ascii="Times New Roman" w:hAnsi="Times New Roman"/>
          <w:sz w:val="18"/>
          <w:szCs w:val="18"/>
          <w:u w:val="single"/>
        </w:rPr>
        <w:t>includes</w:t>
      </w:r>
      <w:r w:rsidRPr="00F25C11">
        <w:rPr>
          <w:rFonts w:ascii="Times New Roman" w:hAnsi="Times New Roman"/>
          <w:sz w:val="18"/>
          <w:szCs w:val="18"/>
        </w:rPr>
        <w:t xml:space="preserve"> at least one source RS to provide a reference (UE assumption) for determining QCL and/or spatial filter </w:t>
      </w:r>
    </w:p>
    <w:p w14:paraId="10521A6F" w14:textId="77777777" w:rsidR="00AD2EBB" w:rsidRPr="00F25C11" w:rsidRDefault="00AD2EBB" w:rsidP="00AD2EBB">
      <w:pPr>
        <w:pStyle w:val="ListParagraph"/>
        <w:numPr>
          <w:ilvl w:val="0"/>
          <w:numId w:val="22"/>
        </w:numPr>
        <w:snapToGrid w:val="0"/>
        <w:spacing w:before="0" w:line="240" w:lineRule="auto"/>
        <w:ind w:firstLineChars="0" w:firstLine="200"/>
        <w:contextualSpacing/>
        <w:jc w:val="left"/>
        <w:rPr>
          <w:rFonts w:ascii="Times New Roman" w:hAnsi="Times New Roman"/>
          <w:sz w:val="18"/>
          <w:szCs w:val="18"/>
        </w:rPr>
      </w:pPr>
      <w:bookmarkStart w:id="2" w:name="_Hlk53740351"/>
      <w:r w:rsidRPr="00F25C11">
        <w:rPr>
          <w:rFonts w:ascii="Times New Roman" w:hAnsi="Times New Roman"/>
          <w:sz w:val="18"/>
          <w:szCs w:val="18"/>
        </w:rPr>
        <w:lastRenderedPageBreak/>
        <w:t xml:space="preserve">The source reference signal(s) in M TCIs provide common QCL information </w:t>
      </w:r>
      <w:bookmarkStart w:id="3" w:name="_Hlk53738798"/>
      <w:r w:rsidRPr="00F25C11">
        <w:rPr>
          <w:rFonts w:ascii="Times New Roman" w:hAnsi="Times New Roman"/>
          <w:sz w:val="18"/>
          <w:szCs w:val="18"/>
        </w:rPr>
        <w:t>at least for UE-dedicated reception on PDSCH and all or subset of CORESETs in a CC</w:t>
      </w:r>
      <w:bookmarkEnd w:id="3"/>
    </w:p>
    <w:bookmarkEnd w:id="2"/>
    <w:p w14:paraId="38CCBC1D" w14:textId="77777777" w:rsidR="00AD2EBB" w:rsidRPr="00F25C11" w:rsidRDefault="00AD2EBB" w:rsidP="00AD2EBB">
      <w:pPr>
        <w:pStyle w:val="ListParagraph"/>
        <w:numPr>
          <w:ilvl w:val="1"/>
          <w:numId w:val="32"/>
        </w:numPr>
        <w:snapToGrid w:val="0"/>
        <w:spacing w:before="0" w:line="240" w:lineRule="auto"/>
        <w:ind w:firstLineChars="0" w:firstLine="200"/>
        <w:contextualSpacing/>
        <w:jc w:val="left"/>
        <w:rPr>
          <w:rFonts w:ascii="Times New Roman" w:hAnsi="Times New Roman"/>
          <w:sz w:val="18"/>
          <w:szCs w:val="18"/>
        </w:rPr>
      </w:pPr>
      <w:r w:rsidRPr="00F25C11">
        <w:rPr>
          <w:rFonts w:ascii="Times New Roman" w:hAnsi="Times New Roman"/>
          <w:sz w:val="18"/>
          <w:szCs w:val="18"/>
        </w:rPr>
        <w:t>FFS: Optionally this common QCL information can also apply to CSI-RS resource for CSI, CSI-RS resource for BM, and CSI-RS for tracking</w:t>
      </w:r>
    </w:p>
    <w:p w14:paraId="21596952" w14:textId="77777777" w:rsidR="00AD2EBB" w:rsidRPr="00F25C11" w:rsidRDefault="00AD2EBB" w:rsidP="00AD2EBB">
      <w:pPr>
        <w:pStyle w:val="ListParagraph"/>
        <w:numPr>
          <w:ilvl w:val="1"/>
          <w:numId w:val="32"/>
        </w:numPr>
        <w:snapToGrid w:val="0"/>
        <w:spacing w:before="0" w:line="240" w:lineRule="auto"/>
        <w:ind w:firstLineChars="0" w:firstLine="200"/>
        <w:contextualSpacing/>
        <w:jc w:val="left"/>
        <w:rPr>
          <w:rFonts w:ascii="Times New Roman" w:hAnsi="Times New Roman"/>
          <w:sz w:val="18"/>
          <w:szCs w:val="18"/>
        </w:rPr>
      </w:pPr>
      <w:r w:rsidRPr="00F25C11">
        <w:rPr>
          <w:rFonts w:ascii="Times New Roman" w:hAnsi="Times New Roman"/>
          <w:sz w:val="18"/>
          <w:szCs w:val="18"/>
        </w:rPr>
        <w:t>FFS: Applicability on PD</w:t>
      </w:r>
      <w:r w:rsidRPr="00F25C11">
        <w:rPr>
          <w:rFonts w:ascii="Times New Roman" w:hAnsi="Times New Roman"/>
          <w:sz w:val="18"/>
          <w:szCs w:val="18"/>
          <w:lang w:eastAsia="ko-KR"/>
        </w:rPr>
        <w:t>S</w:t>
      </w:r>
      <w:r w:rsidRPr="00F25C11">
        <w:rPr>
          <w:rFonts w:ascii="Times New Roman" w:hAnsi="Times New Roman"/>
          <w:sz w:val="18"/>
          <w:szCs w:val="18"/>
        </w:rPr>
        <w:t>CH includes PDSCH default beam</w:t>
      </w:r>
    </w:p>
    <w:p w14:paraId="7E2A3EE2" w14:textId="77777777" w:rsidR="00AD2EBB" w:rsidRPr="00F25C11" w:rsidRDefault="00AD2EBB" w:rsidP="00AD2EBB">
      <w:pPr>
        <w:pStyle w:val="ListParagraph"/>
        <w:numPr>
          <w:ilvl w:val="1"/>
          <w:numId w:val="32"/>
        </w:numPr>
        <w:snapToGrid w:val="0"/>
        <w:spacing w:before="0" w:line="240" w:lineRule="auto"/>
        <w:ind w:firstLineChars="0" w:firstLine="200"/>
        <w:contextualSpacing/>
        <w:jc w:val="left"/>
        <w:rPr>
          <w:rFonts w:ascii="Times New Roman" w:hAnsi="Times New Roman"/>
          <w:sz w:val="18"/>
          <w:szCs w:val="18"/>
        </w:rPr>
      </w:pPr>
      <w:r w:rsidRPr="00F25C11">
        <w:rPr>
          <w:rFonts w:ascii="Times New Roman" w:hAnsi="Times New Roman"/>
          <w:sz w:val="18"/>
          <w:szCs w:val="18"/>
          <w:highlight w:val="darkYellow"/>
        </w:rPr>
        <w:t>Working Assumption</w:t>
      </w:r>
      <w:r w:rsidRPr="00F25C11">
        <w:rPr>
          <w:rFonts w:ascii="Times New Roman" w:hAnsi="Times New Roman"/>
          <w:sz w:val="18"/>
          <w:szCs w:val="18"/>
        </w:rPr>
        <w:t>: Select between M=1 and M&gt;=1</w:t>
      </w:r>
    </w:p>
    <w:p w14:paraId="2B09ABD2" w14:textId="77777777" w:rsidR="00AD2EBB" w:rsidRDefault="00AD2EBB" w:rsidP="008B6E6A">
      <w:pPr>
        <w:snapToGrid w:val="0"/>
        <w:spacing w:before="0" w:line="264" w:lineRule="auto"/>
        <w:ind w:firstLineChars="0" w:firstLine="0"/>
        <w:contextualSpacing/>
        <w:jc w:val="left"/>
        <w:rPr>
          <w:rFonts w:ascii="Calibri" w:hAnsi="Calibri" w:cs="Calibri"/>
        </w:rPr>
      </w:pPr>
    </w:p>
    <w:p w14:paraId="33ED533B" w14:textId="30A0A81C" w:rsidR="00F75ED2" w:rsidRDefault="00AD2EBB" w:rsidP="008B6E6A">
      <w:pPr>
        <w:snapToGrid w:val="0"/>
        <w:spacing w:before="0" w:line="264" w:lineRule="auto"/>
        <w:ind w:firstLineChars="0" w:firstLine="0"/>
        <w:contextualSpacing/>
        <w:jc w:val="left"/>
        <w:rPr>
          <w:rFonts w:ascii="Calibri" w:hAnsi="Calibri" w:cs="Calibri"/>
        </w:rPr>
      </w:pPr>
      <w:r>
        <w:rPr>
          <w:rFonts w:ascii="Calibri" w:hAnsi="Calibri" w:cs="Calibri"/>
        </w:rPr>
        <w:t>In RAN1#103e</w:t>
      </w:r>
      <w:r w:rsidR="00DE1A6A">
        <w:rPr>
          <w:rFonts w:ascii="Calibri" w:hAnsi="Calibri" w:cs="Calibri"/>
        </w:rPr>
        <w:t xml:space="preserve"> [3]</w:t>
      </w:r>
      <w:r>
        <w:rPr>
          <w:rFonts w:ascii="Calibri" w:hAnsi="Calibri" w:cs="Calibri"/>
        </w:rPr>
        <w:t>, an agreement has been made to accommodate the case of separate beam indication for UL and D</w:t>
      </w:r>
      <w:r w:rsidR="00F75ED2">
        <w:rPr>
          <w:rFonts w:ascii="Calibri" w:hAnsi="Calibri" w:cs="Calibri"/>
        </w:rPr>
        <w:t xml:space="preserve">L, whereas 2 separate TCI states, one for DL and one for UL, are used, and for the separate DL TCI, the source reference signal(s) in M TCIs provide QCL information at least for UE-dedicated reception on PDSCH and for UE-dedicated reception on all or subset of CORESETs in a CC. </w:t>
      </w:r>
    </w:p>
    <w:p w14:paraId="3BCE4F1D" w14:textId="74BDE047" w:rsidR="00AD2EBB" w:rsidRDefault="00AD2EBB" w:rsidP="008B6E6A">
      <w:pPr>
        <w:snapToGrid w:val="0"/>
        <w:spacing w:before="0" w:line="264" w:lineRule="auto"/>
        <w:ind w:firstLineChars="0" w:firstLine="0"/>
        <w:contextualSpacing/>
        <w:jc w:val="left"/>
        <w:rPr>
          <w:rFonts w:ascii="Calibri" w:hAnsi="Calibri" w:cs="Calibri"/>
        </w:rPr>
      </w:pPr>
    </w:p>
    <w:p w14:paraId="635B12DB" w14:textId="77777777" w:rsidR="00AD2EBB" w:rsidRPr="00F25C11" w:rsidRDefault="00AD2EBB" w:rsidP="00AD2EBB">
      <w:pPr>
        <w:snapToGrid w:val="0"/>
        <w:ind w:firstLine="180"/>
        <w:rPr>
          <w:rFonts w:ascii="Calibri" w:hAnsi="Calibri" w:cs="Calibri"/>
          <w:sz w:val="18"/>
          <w:szCs w:val="18"/>
        </w:rPr>
      </w:pPr>
      <w:r w:rsidRPr="00F25C11">
        <w:rPr>
          <w:rFonts w:ascii="Calibri" w:hAnsi="Calibri" w:cs="Calibri"/>
          <w:b/>
          <w:bCs/>
          <w:sz w:val="18"/>
          <w:szCs w:val="18"/>
          <w:highlight w:val="green"/>
        </w:rPr>
        <w:t>Agreement</w:t>
      </w:r>
    </w:p>
    <w:p w14:paraId="37EF3566" w14:textId="77777777" w:rsidR="00AD2EBB" w:rsidRPr="00F25C11" w:rsidRDefault="00AD2EBB" w:rsidP="00AD2EBB">
      <w:pPr>
        <w:snapToGrid w:val="0"/>
        <w:ind w:firstLine="180"/>
        <w:rPr>
          <w:rFonts w:ascii="Calibri" w:hAnsi="Calibri" w:cs="Calibri"/>
          <w:sz w:val="18"/>
          <w:szCs w:val="18"/>
          <w:lang w:val="en-GB" w:eastAsia="zh-CN"/>
        </w:rPr>
      </w:pPr>
      <w:r w:rsidRPr="00F25C11">
        <w:rPr>
          <w:rFonts w:ascii="Calibri" w:hAnsi="Calibri" w:cs="Calibri"/>
          <w:sz w:val="18"/>
          <w:szCs w:val="18"/>
          <w:lang w:eastAsia="zh-CN"/>
        </w:rPr>
        <w:t>On Rel-17 unified TCI framework, to accommodate the case of separate beam indication for UL and DL:</w:t>
      </w:r>
    </w:p>
    <w:p w14:paraId="6EE05BB9" w14:textId="77777777" w:rsidR="00AD2EBB" w:rsidRPr="00F25C11" w:rsidRDefault="00AD2EBB" w:rsidP="00AD2EBB">
      <w:pPr>
        <w:pStyle w:val="ListParagraph"/>
        <w:numPr>
          <w:ilvl w:val="0"/>
          <w:numId w:val="28"/>
        </w:numPr>
        <w:snapToGrid w:val="0"/>
        <w:spacing w:before="0" w:line="240" w:lineRule="auto"/>
        <w:ind w:firstLineChars="0"/>
        <w:rPr>
          <w:rFonts w:cs="Calibri"/>
          <w:sz w:val="18"/>
          <w:szCs w:val="18"/>
        </w:rPr>
      </w:pPr>
      <w:r w:rsidRPr="00F25C11">
        <w:rPr>
          <w:rFonts w:cs="Calibri"/>
          <w:sz w:val="18"/>
          <w:szCs w:val="18"/>
        </w:rPr>
        <w:t xml:space="preserve">Utilize two separate TCI states, one for DL and one for UL. </w:t>
      </w:r>
    </w:p>
    <w:p w14:paraId="302BC7F6" w14:textId="77777777" w:rsidR="00AD2EBB" w:rsidRPr="00F25C11" w:rsidRDefault="00AD2EBB" w:rsidP="00AD2EBB">
      <w:pPr>
        <w:pStyle w:val="ListParagraph"/>
        <w:numPr>
          <w:ilvl w:val="1"/>
          <w:numId w:val="28"/>
        </w:numPr>
        <w:snapToGrid w:val="0"/>
        <w:spacing w:before="0" w:line="240" w:lineRule="auto"/>
        <w:ind w:firstLineChars="0"/>
        <w:contextualSpacing/>
        <w:rPr>
          <w:rFonts w:cs="Calibri"/>
          <w:sz w:val="18"/>
          <w:szCs w:val="18"/>
        </w:rPr>
      </w:pPr>
      <w:r w:rsidRPr="00F25C11">
        <w:rPr>
          <w:rFonts w:cs="Calibri"/>
          <w:sz w:val="18"/>
          <w:szCs w:val="18"/>
        </w:rPr>
        <w:t>FFS: Contents of separate UL TCI state</w:t>
      </w:r>
    </w:p>
    <w:p w14:paraId="1AA2F6AB" w14:textId="77777777" w:rsidR="00AD2EBB" w:rsidRPr="00F25C11" w:rsidRDefault="00AD2EBB" w:rsidP="00AD2EBB">
      <w:pPr>
        <w:pStyle w:val="ListParagraph"/>
        <w:numPr>
          <w:ilvl w:val="1"/>
          <w:numId w:val="28"/>
        </w:numPr>
        <w:snapToGrid w:val="0"/>
        <w:spacing w:before="0" w:line="240" w:lineRule="auto"/>
        <w:ind w:firstLineChars="0"/>
        <w:contextualSpacing/>
        <w:rPr>
          <w:rFonts w:cs="Calibri"/>
          <w:sz w:val="18"/>
          <w:szCs w:val="18"/>
        </w:rPr>
      </w:pPr>
      <w:r w:rsidRPr="00F25C11">
        <w:rPr>
          <w:rFonts w:cs="Calibri"/>
          <w:sz w:val="18"/>
          <w:szCs w:val="18"/>
        </w:rPr>
        <w:t xml:space="preserve">Note: For FR1, UE does not expect UL TCI to provide a reference for determining common UL TX spatial filter(s), if UL TCI is supported for FR1 </w:t>
      </w:r>
    </w:p>
    <w:p w14:paraId="78DDD0D7" w14:textId="77777777" w:rsidR="00AD2EBB" w:rsidRPr="00F25C11" w:rsidRDefault="00AD2EBB" w:rsidP="00AD2EBB">
      <w:pPr>
        <w:pStyle w:val="ListParagraph"/>
        <w:numPr>
          <w:ilvl w:val="0"/>
          <w:numId w:val="28"/>
        </w:numPr>
        <w:snapToGrid w:val="0"/>
        <w:spacing w:before="0" w:line="240" w:lineRule="auto"/>
        <w:ind w:firstLineChars="0"/>
        <w:rPr>
          <w:rFonts w:cs="Calibri"/>
          <w:sz w:val="18"/>
          <w:szCs w:val="18"/>
        </w:rPr>
      </w:pPr>
      <w:r w:rsidRPr="00F25C11">
        <w:rPr>
          <w:rFonts w:cs="Calibri"/>
          <w:sz w:val="18"/>
          <w:szCs w:val="18"/>
        </w:rPr>
        <w:t xml:space="preserve">For the separate DL TCI: </w:t>
      </w:r>
    </w:p>
    <w:p w14:paraId="70A1B653" w14:textId="77777777" w:rsidR="00AD2EBB" w:rsidRPr="00F25C11" w:rsidRDefault="00AD2EBB" w:rsidP="00AD2EBB">
      <w:pPr>
        <w:pStyle w:val="ListParagraph"/>
        <w:numPr>
          <w:ilvl w:val="1"/>
          <w:numId w:val="28"/>
        </w:numPr>
        <w:snapToGrid w:val="0"/>
        <w:spacing w:before="0" w:line="240" w:lineRule="auto"/>
        <w:ind w:firstLineChars="0"/>
        <w:contextualSpacing/>
        <w:rPr>
          <w:rFonts w:cs="Calibri"/>
          <w:sz w:val="18"/>
          <w:szCs w:val="18"/>
        </w:rPr>
      </w:pPr>
      <w:r w:rsidRPr="00F25C11">
        <w:rPr>
          <w:rFonts w:cs="Calibri"/>
          <w:sz w:val="18"/>
          <w:szCs w:val="18"/>
        </w:rPr>
        <w:t>The source reference signal(s) in M TCIs provide QCL information at least for UE-dedicated reception on PDSCH and for UE-dedicated reception on all or subset of CORESETs in a CC</w:t>
      </w:r>
    </w:p>
    <w:p w14:paraId="6A784AE0" w14:textId="77777777" w:rsidR="00AD2EBB" w:rsidRPr="006B17B9" w:rsidRDefault="00AD2EBB" w:rsidP="00AD2EBB">
      <w:pPr>
        <w:snapToGrid w:val="0"/>
        <w:spacing w:before="0" w:line="264" w:lineRule="auto"/>
        <w:ind w:firstLineChars="0" w:firstLine="0"/>
        <w:contextualSpacing/>
        <w:jc w:val="left"/>
        <w:rPr>
          <w:rFonts w:ascii="Calibri" w:hAnsi="Calibri" w:cs="Calibri"/>
        </w:rPr>
      </w:pPr>
    </w:p>
    <w:p w14:paraId="12185917" w14:textId="20304071" w:rsidR="00774327" w:rsidRDefault="00774327"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As Rel. 17 aims at making the beam management operation more efficient and streamlined, it is important to enable support for use cases requiring multiple TCI states for beam indication per subset of CORESETs in a CC, from the beginning. Multi-TRP operation is one such use case.  M can therefore be greater than </w:t>
      </w:r>
      <w:proofErr w:type="gramStart"/>
      <w:r>
        <w:rPr>
          <w:rFonts w:ascii="Calibri" w:hAnsi="Calibri" w:cs="Calibri"/>
        </w:rPr>
        <w:t>1, and</w:t>
      </w:r>
      <w:proofErr w:type="gramEnd"/>
      <w:r>
        <w:rPr>
          <w:rFonts w:ascii="Calibri" w:hAnsi="Calibri" w:cs="Calibri"/>
        </w:rPr>
        <w:t xml:space="preserve"> set to 2 as a start to accommodate the multi-TRP use case.</w:t>
      </w:r>
    </w:p>
    <w:p w14:paraId="69E55FDC" w14:textId="77777777" w:rsidR="00774327" w:rsidRDefault="00774327" w:rsidP="008B6E6A">
      <w:pPr>
        <w:snapToGrid w:val="0"/>
        <w:spacing w:before="0" w:line="264" w:lineRule="auto"/>
        <w:ind w:firstLineChars="0" w:firstLine="0"/>
        <w:contextualSpacing/>
        <w:jc w:val="left"/>
        <w:rPr>
          <w:rFonts w:ascii="Calibri" w:hAnsi="Calibri" w:cs="Calibri"/>
        </w:rPr>
      </w:pPr>
    </w:p>
    <w:p w14:paraId="304FA0FB" w14:textId="7B4FDADB" w:rsidR="00D56A56" w:rsidRPr="00614597" w:rsidRDefault="00774327" w:rsidP="008B6E6A">
      <w:pPr>
        <w:snapToGrid w:val="0"/>
        <w:spacing w:before="0" w:line="264" w:lineRule="auto"/>
        <w:ind w:firstLineChars="0" w:firstLine="0"/>
        <w:contextualSpacing/>
        <w:jc w:val="left"/>
        <w:rPr>
          <w:rFonts w:ascii="Calibri" w:hAnsi="Calibri" w:cs="Calibri"/>
          <w:b/>
          <w:bCs/>
        </w:rPr>
      </w:pPr>
      <w:r w:rsidRPr="00614597">
        <w:rPr>
          <w:rFonts w:ascii="Calibri" w:hAnsi="Calibri" w:cs="Calibri"/>
          <w:b/>
          <w:bCs/>
        </w:rPr>
        <w:t>Proposal 1: The unified TCI framework applies for multi-TRP scenarios</w:t>
      </w:r>
    </w:p>
    <w:p w14:paraId="1412E3CF" w14:textId="77777777" w:rsidR="00614597" w:rsidRDefault="00614597" w:rsidP="008B6E6A">
      <w:pPr>
        <w:snapToGrid w:val="0"/>
        <w:spacing w:before="0" w:line="264" w:lineRule="auto"/>
        <w:ind w:firstLineChars="0" w:firstLine="0"/>
        <w:contextualSpacing/>
        <w:jc w:val="left"/>
        <w:rPr>
          <w:rFonts w:ascii="Calibri" w:hAnsi="Calibri" w:cs="Calibri"/>
          <w:b/>
          <w:bCs/>
        </w:rPr>
      </w:pPr>
    </w:p>
    <w:p w14:paraId="418C0F9A" w14:textId="0373FF39" w:rsidR="00774327" w:rsidRPr="00614597" w:rsidRDefault="00774327" w:rsidP="008B6E6A">
      <w:pPr>
        <w:snapToGrid w:val="0"/>
        <w:spacing w:before="0" w:line="264" w:lineRule="auto"/>
        <w:ind w:firstLineChars="0" w:firstLine="0"/>
        <w:contextualSpacing/>
        <w:jc w:val="left"/>
        <w:rPr>
          <w:rFonts w:ascii="Calibri" w:hAnsi="Calibri" w:cs="Calibri"/>
          <w:b/>
          <w:bCs/>
        </w:rPr>
      </w:pPr>
      <w:r w:rsidRPr="00614597">
        <w:rPr>
          <w:rFonts w:ascii="Calibri" w:hAnsi="Calibri" w:cs="Calibri"/>
          <w:b/>
          <w:bCs/>
        </w:rPr>
        <w:t xml:space="preserve">Proposal 2: </w:t>
      </w:r>
      <w:r w:rsidR="00614597" w:rsidRPr="00614597">
        <w:rPr>
          <w:rFonts w:ascii="Calibri" w:hAnsi="Calibri" w:cs="Calibri"/>
          <w:b/>
          <w:bCs/>
        </w:rPr>
        <w:t xml:space="preserve">Support M&gt;= 1 TCIs to provide QCL information at least for UE-dedicated reception on PDSCH and for UE-dedicated reception on all or subset of CORESETs in a CC. </w:t>
      </w:r>
    </w:p>
    <w:p w14:paraId="272CFBEA" w14:textId="03C9155B" w:rsidR="008C089D" w:rsidRDefault="008C089D" w:rsidP="008B6E6A">
      <w:pPr>
        <w:snapToGrid w:val="0"/>
        <w:spacing w:before="0" w:line="264" w:lineRule="auto"/>
        <w:ind w:firstLineChars="0" w:firstLine="0"/>
        <w:contextualSpacing/>
        <w:jc w:val="left"/>
        <w:rPr>
          <w:rFonts w:ascii="Calibri" w:hAnsi="Calibri" w:cs="Calibri"/>
        </w:rPr>
      </w:pPr>
    </w:p>
    <w:p w14:paraId="099887F4" w14:textId="51D5016B" w:rsidR="00614597" w:rsidRDefault="00614597"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In the RAN1#102e agreement, there is also an FFS on whether the common QCL information </w:t>
      </w:r>
      <w:r w:rsidR="00B82A0C">
        <w:rPr>
          <w:rFonts w:ascii="Calibri" w:hAnsi="Calibri" w:cs="Calibri"/>
        </w:rPr>
        <w:t>can be applied</w:t>
      </w:r>
      <w:r>
        <w:rPr>
          <w:rFonts w:ascii="Calibri" w:hAnsi="Calibri" w:cs="Calibri"/>
        </w:rPr>
        <w:t xml:space="preserve"> to CSI-RS resource for CSI, CSI-RS resource for BM, and CSI-RS for tracking. </w:t>
      </w:r>
      <w:r w:rsidR="00364CC3">
        <w:rPr>
          <w:rFonts w:ascii="Calibri" w:hAnsi="Calibri" w:cs="Calibri"/>
        </w:rPr>
        <w:t xml:space="preserve">It seems logical to extend the applicability of the common QCL information to CSI-RS resource for CSI, as </w:t>
      </w:r>
      <w:proofErr w:type="gramStart"/>
      <w:r w:rsidR="00B82A0C">
        <w:rPr>
          <w:rFonts w:ascii="Calibri" w:hAnsi="Calibri" w:cs="Calibri"/>
        </w:rPr>
        <w:t>its</w:t>
      </w:r>
      <w:proofErr w:type="gramEnd"/>
      <w:r w:rsidR="00B82A0C">
        <w:rPr>
          <w:rFonts w:ascii="Calibri" w:hAnsi="Calibri" w:cs="Calibri"/>
        </w:rPr>
        <w:t xml:space="preserve"> transmit beam is typically the same as that of the PDSCH beam</w:t>
      </w:r>
      <w:r w:rsidR="00364CC3">
        <w:rPr>
          <w:rFonts w:ascii="Calibri" w:hAnsi="Calibri" w:cs="Calibri"/>
        </w:rPr>
        <w:t xml:space="preserve">. </w:t>
      </w:r>
      <w:r w:rsidR="00B82A0C">
        <w:rPr>
          <w:rFonts w:ascii="Calibri" w:hAnsi="Calibri" w:cs="Calibri"/>
        </w:rPr>
        <w:t xml:space="preserve">The common QCL information can also be applicable to CSI-RS resource for BM, at least with repetition ‘on’. </w:t>
      </w:r>
      <w:r w:rsidR="00364CC3">
        <w:rPr>
          <w:rFonts w:ascii="Calibri" w:hAnsi="Calibri" w:cs="Calibri"/>
        </w:rPr>
        <w:t xml:space="preserve">Similarly, the common QCL information can be extended to CSI-RS for tracking, as the QCL source for the common TCI state can be used as a QCL source for CSI-RS for tracking. </w:t>
      </w:r>
    </w:p>
    <w:p w14:paraId="31722C84" w14:textId="04229062" w:rsidR="00364CC3" w:rsidRDefault="00364CC3" w:rsidP="008B6E6A">
      <w:pPr>
        <w:snapToGrid w:val="0"/>
        <w:spacing w:before="0" w:line="264" w:lineRule="auto"/>
        <w:ind w:firstLineChars="0" w:firstLine="0"/>
        <w:contextualSpacing/>
        <w:jc w:val="left"/>
        <w:rPr>
          <w:rFonts w:ascii="Calibri" w:hAnsi="Calibri" w:cs="Calibri"/>
        </w:rPr>
      </w:pPr>
    </w:p>
    <w:p w14:paraId="3D09BD91" w14:textId="1D0DC4F6" w:rsidR="00364CC3" w:rsidRDefault="00364CC3" w:rsidP="008B6E6A">
      <w:pPr>
        <w:snapToGrid w:val="0"/>
        <w:spacing w:before="0" w:line="264" w:lineRule="auto"/>
        <w:ind w:firstLineChars="0" w:firstLine="0"/>
        <w:contextualSpacing/>
        <w:jc w:val="left"/>
        <w:rPr>
          <w:rFonts w:ascii="Calibri" w:hAnsi="Calibri" w:cs="Calibri"/>
          <w:b/>
          <w:bCs/>
        </w:rPr>
      </w:pPr>
      <w:r w:rsidRPr="00364CC3">
        <w:rPr>
          <w:rFonts w:ascii="Calibri" w:hAnsi="Calibri" w:cs="Calibri"/>
          <w:b/>
          <w:bCs/>
        </w:rPr>
        <w:t xml:space="preserve">Proposal 3: </w:t>
      </w:r>
      <w:r w:rsidR="00B82A0C">
        <w:rPr>
          <w:rFonts w:ascii="Calibri" w:hAnsi="Calibri" w:cs="Calibri"/>
          <w:b/>
          <w:bCs/>
        </w:rPr>
        <w:t>On Rel. 17 unified TCI framework, the source reference signal(s) in M TCIs can also provide common QCL information for one or more CSI-RS resources for CSI, CSI-RS for tracking, and some CSI-RS resource for BM.</w:t>
      </w:r>
    </w:p>
    <w:p w14:paraId="643FC39F" w14:textId="180229A5" w:rsidR="00364CC3" w:rsidRDefault="00364CC3" w:rsidP="008B6E6A">
      <w:pPr>
        <w:snapToGrid w:val="0"/>
        <w:spacing w:before="0" w:line="264" w:lineRule="auto"/>
        <w:ind w:firstLineChars="0" w:firstLine="0"/>
        <w:contextualSpacing/>
        <w:jc w:val="left"/>
        <w:rPr>
          <w:rFonts w:ascii="Calibri" w:hAnsi="Calibri" w:cs="Calibri"/>
          <w:b/>
          <w:bCs/>
        </w:rPr>
      </w:pPr>
    </w:p>
    <w:p w14:paraId="6113707A" w14:textId="77777777" w:rsidR="00867109" w:rsidRDefault="00867109" w:rsidP="008B6E6A">
      <w:pPr>
        <w:snapToGrid w:val="0"/>
        <w:spacing w:before="0" w:line="264" w:lineRule="auto"/>
        <w:ind w:firstLineChars="0" w:firstLine="0"/>
        <w:contextualSpacing/>
        <w:jc w:val="left"/>
        <w:rPr>
          <w:rFonts w:ascii="Calibri" w:hAnsi="Calibri" w:cs="Calibri"/>
        </w:rPr>
      </w:pPr>
    </w:p>
    <w:p w14:paraId="78FFC90B" w14:textId="6A859169" w:rsidR="00867109" w:rsidRDefault="00867109" w:rsidP="008B6E6A">
      <w:pPr>
        <w:snapToGrid w:val="0"/>
        <w:spacing w:before="0" w:line="264" w:lineRule="auto"/>
        <w:ind w:firstLineChars="0" w:firstLine="0"/>
        <w:contextualSpacing/>
        <w:jc w:val="left"/>
        <w:rPr>
          <w:rFonts w:ascii="Calibri" w:hAnsi="Calibri" w:cs="Calibri"/>
        </w:rPr>
      </w:pPr>
      <w:r>
        <w:rPr>
          <w:rFonts w:ascii="Calibri" w:hAnsi="Calibri" w:cs="Calibri"/>
        </w:rPr>
        <w:t>In RAN1#103e, an agreement has been made on the TCI pool for the joint DL/UL beam indication:</w:t>
      </w:r>
    </w:p>
    <w:p w14:paraId="33046F47" w14:textId="77777777" w:rsidR="00867109" w:rsidRPr="00F25C11" w:rsidRDefault="00867109" w:rsidP="00867109">
      <w:pPr>
        <w:snapToGrid w:val="0"/>
        <w:ind w:firstLine="180"/>
        <w:rPr>
          <w:rFonts w:ascii="Calibri" w:hAnsi="Calibri" w:cs="Calibri"/>
          <w:sz w:val="18"/>
          <w:szCs w:val="18"/>
        </w:rPr>
      </w:pPr>
      <w:r w:rsidRPr="00F25C11">
        <w:rPr>
          <w:rFonts w:ascii="Calibri" w:hAnsi="Calibri" w:cs="Calibri"/>
          <w:b/>
          <w:bCs/>
          <w:sz w:val="18"/>
          <w:szCs w:val="18"/>
          <w:highlight w:val="green"/>
        </w:rPr>
        <w:t>Agreement</w:t>
      </w:r>
    </w:p>
    <w:p w14:paraId="4C2DB9EE" w14:textId="77777777" w:rsidR="00867109" w:rsidRPr="00F25C11" w:rsidRDefault="00867109" w:rsidP="00867109">
      <w:pPr>
        <w:snapToGrid w:val="0"/>
        <w:ind w:firstLine="180"/>
        <w:rPr>
          <w:rFonts w:ascii="Calibri" w:hAnsi="Calibri" w:cs="Calibri"/>
          <w:sz w:val="18"/>
          <w:szCs w:val="18"/>
          <w:lang w:val="en-GB"/>
        </w:rPr>
      </w:pPr>
      <w:r w:rsidRPr="00F25C11">
        <w:rPr>
          <w:rFonts w:ascii="Calibri" w:hAnsi="Calibri" w:cs="Calibri"/>
          <w:sz w:val="18"/>
          <w:szCs w:val="18"/>
        </w:rPr>
        <w:t>On Rel-17 unified TCI framework:</w:t>
      </w:r>
    </w:p>
    <w:p w14:paraId="1142AFB6" w14:textId="77777777" w:rsidR="00867109" w:rsidRPr="00E24366" w:rsidRDefault="00867109" w:rsidP="00867109">
      <w:pPr>
        <w:pStyle w:val="ListParagraph"/>
        <w:numPr>
          <w:ilvl w:val="0"/>
          <w:numId w:val="31"/>
        </w:numPr>
        <w:snapToGrid w:val="0"/>
        <w:spacing w:before="0" w:line="240" w:lineRule="auto"/>
        <w:ind w:firstLineChars="0"/>
        <w:contextualSpacing/>
        <w:rPr>
          <w:rFonts w:cs="Calibri"/>
          <w:sz w:val="18"/>
          <w:szCs w:val="18"/>
        </w:rPr>
      </w:pPr>
      <w:r w:rsidRPr="00E24366">
        <w:rPr>
          <w:rFonts w:cs="Calibri"/>
          <w:sz w:val="18"/>
          <w:szCs w:val="18"/>
        </w:rPr>
        <w:t>A pool of joint DL/UL TCI state is used for joint DL/UL TCI state update (beam indication).</w:t>
      </w:r>
    </w:p>
    <w:p w14:paraId="465BA133" w14:textId="77777777" w:rsidR="00867109" w:rsidRPr="00E24366" w:rsidRDefault="00867109" w:rsidP="00867109">
      <w:pPr>
        <w:pStyle w:val="ListParagraph"/>
        <w:numPr>
          <w:ilvl w:val="0"/>
          <w:numId w:val="31"/>
        </w:numPr>
        <w:snapToGrid w:val="0"/>
        <w:spacing w:before="0" w:line="240" w:lineRule="auto"/>
        <w:ind w:firstLineChars="0"/>
        <w:contextualSpacing/>
        <w:rPr>
          <w:rFonts w:cs="Calibri"/>
          <w:sz w:val="18"/>
          <w:szCs w:val="18"/>
        </w:rPr>
      </w:pPr>
      <w:r w:rsidRPr="00E24366">
        <w:rPr>
          <w:rFonts w:cs="Calibri"/>
          <w:sz w:val="18"/>
          <w:szCs w:val="18"/>
        </w:rPr>
        <w:t>FFS: The pool for separate DL and UL TCI state update (beam indication)</w:t>
      </w:r>
    </w:p>
    <w:p w14:paraId="4443F153" w14:textId="77777777" w:rsidR="00867109" w:rsidRPr="00E24366" w:rsidRDefault="00867109" w:rsidP="00867109">
      <w:pPr>
        <w:pStyle w:val="ListParagraph"/>
        <w:numPr>
          <w:ilvl w:val="0"/>
          <w:numId w:val="31"/>
        </w:numPr>
        <w:snapToGrid w:val="0"/>
        <w:spacing w:before="0" w:line="240" w:lineRule="auto"/>
        <w:ind w:firstLineChars="0"/>
        <w:contextualSpacing/>
        <w:rPr>
          <w:rFonts w:cs="Calibri"/>
          <w:sz w:val="18"/>
          <w:szCs w:val="18"/>
        </w:rPr>
      </w:pPr>
      <w:r w:rsidRPr="00E24366">
        <w:rPr>
          <w:rFonts w:cs="Calibri"/>
          <w:sz w:val="18"/>
          <w:szCs w:val="18"/>
        </w:rPr>
        <w:t>Note: Here, TCI state pool refers to a pool configured via higher-layer (RRC) signaling</w:t>
      </w:r>
    </w:p>
    <w:p w14:paraId="212850C6" w14:textId="77777777" w:rsidR="00867109" w:rsidRDefault="00867109" w:rsidP="008B6E6A">
      <w:pPr>
        <w:snapToGrid w:val="0"/>
        <w:spacing w:before="0" w:line="264" w:lineRule="auto"/>
        <w:ind w:firstLineChars="0" w:firstLine="0"/>
        <w:contextualSpacing/>
        <w:jc w:val="left"/>
        <w:rPr>
          <w:rFonts w:ascii="Calibri" w:hAnsi="Calibri" w:cs="Calibri"/>
        </w:rPr>
      </w:pPr>
    </w:p>
    <w:p w14:paraId="6DAED512" w14:textId="77777777" w:rsidR="00F25C11" w:rsidRDefault="00F25C11" w:rsidP="008B6E6A">
      <w:pPr>
        <w:snapToGrid w:val="0"/>
        <w:spacing w:before="0" w:line="264" w:lineRule="auto"/>
        <w:ind w:firstLineChars="0" w:firstLine="0"/>
        <w:contextualSpacing/>
        <w:jc w:val="left"/>
        <w:rPr>
          <w:rFonts w:ascii="Calibri" w:hAnsi="Calibri" w:cs="Calibri"/>
        </w:rPr>
      </w:pPr>
    </w:p>
    <w:p w14:paraId="613F63BA" w14:textId="77777777" w:rsidR="00F25C11" w:rsidRDefault="00F25C11" w:rsidP="008B6E6A">
      <w:pPr>
        <w:snapToGrid w:val="0"/>
        <w:spacing w:before="0" w:line="264" w:lineRule="auto"/>
        <w:ind w:firstLineChars="0" w:firstLine="0"/>
        <w:contextualSpacing/>
        <w:jc w:val="left"/>
        <w:rPr>
          <w:rFonts w:ascii="Calibri" w:hAnsi="Calibri" w:cs="Calibri"/>
        </w:rPr>
      </w:pPr>
    </w:p>
    <w:p w14:paraId="0C80AC8C" w14:textId="77777777" w:rsidR="00F25C11" w:rsidRDefault="00F25C11" w:rsidP="008B6E6A">
      <w:pPr>
        <w:snapToGrid w:val="0"/>
        <w:spacing w:before="0" w:line="264" w:lineRule="auto"/>
        <w:ind w:firstLineChars="0" w:firstLine="0"/>
        <w:contextualSpacing/>
        <w:jc w:val="left"/>
        <w:rPr>
          <w:rFonts w:ascii="Calibri" w:hAnsi="Calibri" w:cs="Calibri"/>
        </w:rPr>
      </w:pPr>
    </w:p>
    <w:p w14:paraId="1A8612E8" w14:textId="77777777" w:rsidR="00F25C11" w:rsidRDefault="00F25C11" w:rsidP="008B6E6A">
      <w:pPr>
        <w:snapToGrid w:val="0"/>
        <w:spacing w:before="0" w:line="264" w:lineRule="auto"/>
        <w:ind w:firstLineChars="0" w:firstLine="0"/>
        <w:contextualSpacing/>
        <w:jc w:val="left"/>
        <w:rPr>
          <w:rFonts w:ascii="Calibri" w:hAnsi="Calibri" w:cs="Calibri"/>
        </w:rPr>
      </w:pPr>
    </w:p>
    <w:p w14:paraId="1B12FA68" w14:textId="73A43D62" w:rsidR="00FA352F" w:rsidRDefault="00702322" w:rsidP="008B6E6A">
      <w:pPr>
        <w:snapToGrid w:val="0"/>
        <w:spacing w:before="0" w:line="264" w:lineRule="auto"/>
        <w:ind w:firstLineChars="0" w:firstLine="0"/>
        <w:contextualSpacing/>
        <w:jc w:val="left"/>
        <w:rPr>
          <w:rFonts w:ascii="Calibri" w:hAnsi="Calibri" w:cs="Calibri"/>
        </w:rPr>
      </w:pPr>
      <w:r>
        <w:rPr>
          <w:rFonts w:ascii="Calibri" w:hAnsi="Calibri" w:cs="Calibri"/>
        </w:rPr>
        <w:lastRenderedPageBreak/>
        <w:t>Whether separate DL and UL TCI states will use separate DL and UL TCI pools is still not decided. Such a</w:t>
      </w:r>
      <w:r w:rsidR="000347A3">
        <w:rPr>
          <w:rFonts w:ascii="Calibri" w:hAnsi="Calibri" w:cs="Calibri"/>
        </w:rPr>
        <w:t>n</w:t>
      </w:r>
      <w:r>
        <w:rPr>
          <w:rFonts w:ascii="Calibri" w:hAnsi="Calibri" w:cs="Calibri"/>
        </w:rPr>
        <w:t xml:space="preserve"> agreement </w:t>
      </w:r>
      <w:r w:rsidR="00C96322">
        <w:rPr>
          <w:rFonts w:ascii="Calibri" w:hAnsi="Calibri" w:cs="Calibri"/>
        </w:rPr>
        <w:t xml:space="preserve">needs to take into account the </w:t>
      </w:r>
      <w:r w:rsidR="00155DFB">
        <w:rPr>
          <w:rFonts w:ascii="Calibri" w:hAnsi="Calibri" w:cs="Calibri"/>
        </w:rPr>
        <w:t>incurred RRC overhead.</w:t>
      </w:r>
    </w:p>
    <w:p w14:paraId="6EA4913D" w14:textId="5C9C4B06" w:rsidR="00C96322" w:rsidRDefault="00C96322"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The UL TCI state, when separate from the DL TCI state, should include the source RS for the UL TCI. The source RS can be SSB or CSI-RS, in addition to the SRS for BM. The UL TCI state could also potentially include a DL RS as the PL RS. </w:t>
      </w:r>
    </w:p>
    <w:p w14:paraId="43F0156F" w14:textId="1B74A8CB" w:rsidR="00C96322" w:rsidRDefault="00C96322" w:rsidP="008B6E6A">
      <w:pPr>
        <w:snapToGrid w:val="0"/>
        <w:spacing w:before="0" w:line="264" w:lineRule="auto"/>
        <w:ind w:firstLineChars="0" w:firstLine="0"/>
        <w:contextualSpacing/>
        <w:jc w:val="left"/>
        <w:rPr>
          <w:rFonts w:ascii="Calibri" w:hAnsi="Calibri" w:cs="Calibri"/>
        </w:rPr>
      </w:pPr>
      <w:r>
        <w:rPr>
          <w:rFonts w:ascii="Calibri" w:hAnsi="Calibri" w:cs="Calibri"/>
        </w:rPr>
        <w:t>The DL TCI state on the other hand</w:t>
      </w:r>
      <w:r w:rsidR="0074263F">
        <w:rPr>
          <w:rFonts w:ascii="Calibri" w:hAnsi="Calibri" w:cs="Calibri"/>
        </w:rPr>
        <w:t xml:space="preserve"> contains parameters to configure QCL information between one or two RSs</w:t>
      </w:r>
      <w:r>
        <w:rPr>
          <w:rFonts w:ascii="Calibri" w:hAnsi="Calibri" w:cs="Calibri"/>
        </w:rPr>
        <w:t xml:space="preserve">, </w:t>
      </w:r>
      <w:r w:rsidR="0074263F">
        <w:rPr>
          <w:rFonts w:ascii="Calibri" w:hAnsi="Calibri" w:cs="Calibri"/>
        </w:rPr>
        <w:t>each with a different QCL type indication</w:t>
      </w:r>
      <w:r>
        <w:rPr>
          <w:rFonts w:ascii="Calibri" w:hAnsi="Calibri" w:cs="Calibri"/>
        </w:rPr>
        <w:t xml:space="preserve">. The DL TCI state does not include SRS as a QCL type D source RS. The contents of the UL TCI state thus differ from the contents of the DL TCI state. </w:t>
      </w:r>
    </w:p>
    <w:p w14:paraId="7E8E1CE2" w14:textId="5BBFC8CF" w:rsidR="00FA352F" w:rsidRPr="00702322" w:rsidRDefault="00155DFB" w:rsidP="00702322">
      <w:pPr>
        <w:pStyle w:val="ListParagraph"/>
        <w:numPr>
          <w:ilvl w:val="0"/>
          <w:numId w:val="42"/>
        </w:numPr>
        <w:snapToGrid w:val="0"/>
        <w:spacing w:before="0" w:line="264" w:lineRule="auto"/>
        <w:ind w:firstLineChars="0"/>
        <w:contextualSpacing/>
        <w:jc w:val="left"/>
        <w:rPr>
          <w:rFonts w:cs="Calibri"/>
          <w:sz w:val="20"/>
          <w:szCs w:val="20"/>
        </w:rPr>
      </w:pPr>
      <w:r w:rsidRPr="00702322">
        <w:rPr>
          <w:rFonts w:cs="Calibri"/>
          <w:sz w:val="20"/>
          <w:szCs w:val="20"/>
        </w:rPr>
        <w:t>If the separate DL and UL TCI states were to use the same TCI pool, parameters need to be added to the TCI state definition to merge the differences between the TCI states, and this will be reflected in the RRC signaling</w:t>
      </w:r>
      <w:r w:rsidR="00702322" w:rsidRPr="00702322">
        <w:rPr>
          <w:rFonts w:cs="Calibri"/>
          <w:sz w:val="20"/>
          <w:szCs w:val="20"/>
        </w:rPr>
        <w:t xml:space="preserve">. The addition of parameters to the content of the TCI state, albeit some of them are optional, will affect </w:t>
      </w:r>
      <w:r w:rsidRPr="00702322">
        <w:rPr>
          <w:rFonts w:cs="Calibri"/>
          <w:sz w:val="20"/>
          <w:szCs w:val="20"/>
        </w:rPr>
        <w:t xml:space="preserve">both the separate and joint TCI state indication, as the joint TCI pool will be common for both. </w:t>
      </w:r>
    </w:p>
    <w:p w14:paraId="5329223F" w14:textId="4BBE7CF4" w:rsidR="00997D38" w:rsidRPr="00702322" w:rsidRDefault="00155DFB" w:rsidP="00702322">
      <w:pPr>
        <w:pStyle w:val="ListParagraph"/>
        <w:numPr>
          <w:ilvl w:val="0"/>
          <w:numId w:val="42"/>
        </w:numPr>
        <w:snapToGrid w:val="0"/>
        <w:spacing w:before="0" w:line="264" w:lineRule="auto"/>
        <w:ind w:firstLineChars="0"/>
        <w:contextualSpacing/>
        <w:jc w:val="left"/>
        <w:rPr>
          <w:rFonts w:cs="Calibri"/>
          <w:sz w:val="20"/>
          <w:szCs w:val="20"/>
        </w:rPr>
      </w:pPr>
      <w:r w:rsidRPr="00702322">
        <w:rPr>
          <w:rFonts w:cs="Calibri"/>
          <w:sz w:val="20"/>
          <w:szCs w:val="20"/>
        </w:rPr>
        <w:t xml:space="preserve">If separate TCI pools are used, the UL TCI state pool is configured separately, </w:t>
      </w:r>
      <w:r w:rsidR="00997D38" w:rsidRPr="00702322">
        <w:rPr>
          <w:rFonts w:cs="Calibri"/>
          <w:sz w:val="20"/>
          <w:szCs w:val="20"/>
        </w:rPr>
        <w:t xml:space="preserve">and </w:t>
      </w:r>
      <w:r w:rsidR="00702322" w:rsidRPr="00702322">
        <w:rPr>
          <w:rFonts w:cs="Calibri"/>
          <w:sz w:val="20"/>
          <w:szCs w:val="20"/>
        </w:rPr>
        <w:t>needs to be configured only for</w:t>
      </w:r>
      <w:r w:rsidR="00997D38" w:rsidRPr="00702322">
        <w:rPr>
          <w:rFonts w:cs="Calibri"/>
          <w:sz w:val="20"/>
          <w:szCs w:val="20"/>
        </w:rPr>
        <w:t xml:space="preserve"> the case of separate TCI state indication, and there needs to be an indication on which of the two pools is used for the TCI state indication. </w:t>
      </w:r>
    </w:p>
    <w:p w14:paraId="75309813" w14:textId="77777777" w:rsidR="00702322" w:rsidRDefault="00702322" w:rsidP="008B6E6A">
      <w:pPr>
        <w:snapToGrid w:val="0"/>
        <w:spacing w:before="0" w:line="264" w:lineRule="auto"/>
        <w:ind w:firstLineChars="0" w:firstLine="0"/>
        <w:contextualSpacing/>
        <w:jc w:val="left"/>
        <w:rPr>
          <w:rFonts w:ascii="Calibri" w:hAnsi="Calibri" w:cs="Calibri"/>
        </w:rPr>
      </w:pPr>
    </w:p>
    <w:p w14:paraId="496C6F2A" w14:textId="526A211F" w:rsidR="00155DFB" w:rsidRDefault="00702322" w:rsidP="008B6E6A">
      <w:pPr>
        <w:snapToGrid w:val="0"/>
        <w:spacing w:before="0" w:line="264" w:lineRule="auto"/>
        <w:ind w:firstLineChars="0" w:firstLine="0"/>
        <w:contextualSpacing/>
        <w:jc w:val="left"/>
        <w:rPr>
          <w:rFonts w:ascii="Calibri" w:hAnsi="Calibri" w:cs="Calibri"/>
        </w:rPr>
      </w:pPr>
      <w:r>
        <w:rPr>
          <w:rFonts w:ascii="Calibri" w:hAnsi="Calibri" w:cs="Calibri"/>
        </w:rPr>
        <w:t>Configuring two separate DL and UL TCI state pools for the separate DL and UL TCI state indication is a less complicated solution, that avoids extending the size of the DL TCI state pool or its content, given that the joint TCI state indication constitutes the majority of the cases, as pointed out in the motivation of the unified TCI framework.</w:t>
      </w:r>
    </w:p>
    <w:p w14:paraId="2F1636AD" w14:textId="77777777" w:rsidR="00702322" w:rsidRDefault="00702322" w:rsidP="008B6E6A">
      <w:pPr>
        <w:snapToGrid w:val="0"/>
        <w:spacing w:before="0" w:line="264" w:lineRule="auto"/>
        <w:ind w:firstLineChars="0" w:firstLine="0"/>
        <w:contextualSpacing/>
        <w:jc w:val="left"/>
        <w:rPr>
          <w:rFonts w:ascii="Calibri" w:hAnsi="Calibri" w:cs="Calibri"/>
        </w:rPr>
      </w:pPr>
    </w:p>
    <w:p w14:paraId="025E6085" w14:textId="3AF080D9" w:rsidR="00C96322" w:rsidRDefault="00660408" w:rsidP="008B6E6A">
      <w:pPr>
        <w:snapToGrid w:val="0"/>
        <w:spacing w:before="0" w:line="264" w:lineRule="auto"/>
        <w:ind w:firstLineChars="0" w:firstLine="0"/>
        <w:contextualSpacing/>
        <w:jc w:val="left"/>
        <w:rPr>
          <w:rFonts w:ascii="Calibri" w:hAnsi="Calibri" w:cs="Calibri"/>
        </w:rPr>
      </w:pPr>
      <w:r>
        <w:rPr>
          <w:rFonts w:ascii="Calibri" w:hAnsi="Calibri" w:cs="Calibri"/>
          <w:b/>
          <w:bCs/>
        </w:rPr>
        <w:t xml:space="preserve">Proposal </w:t>
      </w:r>
      <w:r w:rsidR="00702322">
        <w:rPr>
          <w:rFonts w:ascii="Calibri" w:hAnsi="Calibri" w:cs="Calibri"/>
          <w:b/>
          <w:bCs/>
        </w:rPr>
        <w:t>4</w:t>
      </w:r>
      <w:r>
        <w:rPr>
          <w:rFonts w:ascii="Calibri" w:hAnsi="Calibri" w:cs="Calibri"/>
          <w:b/>
          <w:bCs/>
        </w:rPr>
        <w:t xml:space="preserve">: Two separate DL/UL TCI state pools are used for separate DL/UL TCI state update. </w:t>
      </w:r>
    </w:p>
    <w:p w14:paraId="75472D0A" w14:textId="378BCC51" w:rsidR="00C96322" w:rsidRDefault="00C96322" w:rsidP="008B6E6A">
      <w:pPr>
        <w:snapToGrid w:val="0"/>
        <w:spacing w:before="0" w:line="264" w:lineRule="auto"/>
        <w:ind w:firstLineChars="0" w:firstLine="0"/>
        <w:contextualSpacing/>
        <w:jc w:val="left"/>
        <w:rPr>
          <w:rFonts w:ascii="Calibri" w:hAnsi="Calibri" w:cs="Calibri"/>
        </w:rPr>
      </w:pPr>
    </w:p>
    <w:p w14:paraId="64E6F2A5" w14:textId="2AD4CCE0" w:rsidR="00820730" w:rsidRDefault="00702322"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Another topic for discussion for the unified TCI framework is the inclusion of </w:t>
      </w:r>
      <w:r w:rsidR="00820730">
        <w:rPr>
          <w:rFonts w:ascii="Calibri" w:hAnsi="Calibri" w:cs="Calibri"/>
        </w:rPr>
        <w:t xml:space="preserve">UL parameter settings in the unified TCI framework. The UL parameters can consist of the PL RS, as well as UL power control parameters. </w:t>
      </w:r>
    </w:p>
    <w:p w14:paraId="022F4C8D" w14:textId="2F1DB2D2" w:rsidR="00820730" w:rsidRDefault="00820730"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There are mainly two options for inclusion of the UL parameter settings, either as part of the unified TCI framework, or outside of the TCI framework. Similarly, the UL parameter settings, if not included within the TCI framework can either be linked to the TCI framework or indicated outside and independently of the TCI framework. </w:t>
      </w:r>
    </w:p>
    <w:p w14:paraId="560577C8" w14:textId="4D2B9203" w:rsidR="00820730" w:rsidRDefault="00820730"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For the UL PC parameters, </w:t>
      </w:r>
      <w:r w:rsidR="00A11CB9">
        <w:rPr>
          <w:rFonts w:ascii="Calibri" w:hAnsi="Calibri" w:cs="Calibri"/>
        </w:rPr>
        <w:t>inclusion and association</w:t>
      </w:r>
      <w:r>
        <w:rPr>
          <w:rFonts w:ascii="Calibri" w:hAnsi="Calibri" w:cs="Calibri"/>
        </w:rPr>
        <w:t xml:space="preserve"> </w:t>
      </w:r>
      <w:r w:rsidR="00A11CB9">
        <w:rPr>
          <w:rFonts w:ascii="Calibri" w:hAnsi="Calibri" w:cs="Calibri"/>
        </w:rPr>
        <w:t>with</w:t>
      </w:r>
      <w:r>
        <w:rPr>
          <w:rFonts w:ascii="Calibri" w:hAnsi="Calibri" w:cs="Calibri"/>
        </w:rPr>
        <w:t xml:space="preserve"> the TCI framework might be too restrictive</w:t>
      </w:r>
      <w:r w:rsidR="00A11CB9">
        <w:rPr>
          <w:rFonts w:ascii="Calibri" w:hAnsi="Calibri" w:cs="Calibri"/>
        </w:rPr>
        <w:t xml:space="preserve">, as these should be defined per UL channel. </w:t>
      </w:r>
    </w:p>
    <w:p w14:paraId="30B1AB93" w14:textId="1D054ED2" w:rsidR="00A11CB9" w:rsidRDefault="00A11CB9" w:rsidP="008B6E6A">
      <w:pPr>
        <w:snapToGrid w:val="0"/>
        <w:spacing w:before="0" w:line="264" w:lineRule="auto"/>
        <w:ind w:firstLineChars="0" w:firstLine="0"/>
        <w:contextualSpacing/>
        <w:jc w:val="left"/>
        <w:rPr>
          <w:rFonts w:ascii="Calibri" w:hAnsi="Calibri" w:cs="Calibri"/>
        </w:rPr>
      </w:pPr>
      <w:r>
        <w:rPr>
          <w:rFonts w:ascii="Calibri" w:hAnsi="Calibri" w:cs="Calibri"/>
        </w:rPr>
        <w:t xml:space="preserve">For the PL RS, however, it is beneficial to include it or associate it with the TCI state in the Rel. 17 unified TCI framework, especially for the UL TCI state with SRS for BM as a source RS. The PL RS can be included in the UL TCI state for separate DL and UL beam indication. </w:t>
      </w:r>
    </w:p>
    <w:p w14:paraId="319DABB2" w14:textId="69DCA8EF" w:rsidR="00820730" w:rsidRDefault="00820730" w:rsidP="008B6E6A">
      <w:pPr>
        <w:snapToGrid w:val="0"/>
        <w:spacing w:before="0" w:line="264" w:lineRule="auto"/>
        <w:ind w:firstLineChars="0" w:firstLine="0"/>
        <w:contextualSpacing/>
        <w:jc w:val="left"/>
        <w:rPr>
          <w:rFonts w:ascii="Calibri" w:hAnsi="Calibri" w:cs="Calibri"/>
        </w:rPr>
      </w:pPr>
    </w:p>
    <w:p w14:paraId="0929FDD8" w14:textId="04FE7DA8" w:rsidR="00702322" w:rsidRPr="00A11CB9" w:rsidRDefault="00A11CB9" w:rsidP="00A11CB9">
      <w:pPr>
        <w:snapToGrid w:val="0"/>
        <w:spacing w:before="0" w:line="264" w:lineRule="auto"/>
        <w:ind w:firstLineChars="0" w:firstLine="0"/>
        <w:contextualSpacing/>
        <w:jc w:val="left"/>
        <w:rPr>
          <w:rFonts w:ascii="Calibri" w:hAnsi="Calibri" w:cs="Calibri"/>
          <w:b/>
          <w:bCs/>
        </w:rPr>
      </w:pPr>
      <w:r w:rsidRPr="00A11CB9">
        <w:rPr>
          <w:rFonts w:ascii="Calibri" w:hAnsi="Calibri" w:cs="Calibri"/>
          <w:b/>
          <w:bCs/>
        </w:rPr>
        <w:t>Proposal 5: A PL-RS can be configured in a TCI state in a Rel. 17 unified TCI framework</w:t>
      </w:r>
      <w:r w:rsidRPr="00A11CB9">
        <w:rPr>
          <w:rFonts w:ascii="Calibri" w:hAnsi="Calibri" w:cs="Calibri"/>
          <w:b/>
          <w:bCs/>
        </w:rPr>
        <w:br/>
      </w:r>
    </w:p>
    <w:p w14:paraId="6DAC1E95" w14:textId="7F1E1CE2" w:rsidR="00B655DC" w:rsidRDefault="00B655DC" w:rsidP="00844163">
      <w:pPr>
        <w:snapToGrid w:val="0"/>
        <w:spacing w:before="0" w:line="264" w:lineRule="auto"/>
        <w:ind w:firstLineChars="0" w:firstLine="0"/>
        <w:contextualSpacing/>
        <w:jc w:val="left"/>
        <w:rPr>
          <w:rFonts w:ascii="Calibri" w:hAnsi="Calibri" w:cs="Calibri"/>
        </w:rPr>
      </w:pPr>
    </w:p>
    <w:p w14:paraId="00F458AB" w14:textId="77777777" w:rsidR="0083299D" w:rsidRPr="00867109" w:rsidRDefault="0083299D" w:rsidP="0058024D">
      <w:pPr>
        <w:ind w:firstLineChars="0" w:firstLine="0"/>
        <w:rPr>
          <w:rFonts w:ascii="Calibri" w:hAnsi="Calibri" w:cs="Calibri"/>
          <w:b/>
          <w:bCs/>
          <w:lang w:val="en-GB" w:eastAsia="en-US"/>
        </w:rPr>
      </w:pPr>
    </w:p>
    <w:p w14:paraId="0843C00F" w14:textId="0731A9F1" w:rsidR="000B6E14" w:rsidRPr="00D03C77" w:rsidRDefault="005B7599" w:rsidP="00D03C77">
      <w:pPr>
        <w:pStyle w:val="Heading1"/>
      </w:pPr>
      <w:r>
        <w:t xml:space="preserve">[Issue 4] </w:t>
      </w:r>
      <w:r w:rsidR="00550B4C">
        <w:t>MP-UE assumption to facilitate fast UL panel selection</w:t>
      </w:r>
    </w:p>
    <w:p w14:paraId="769C2DAE" w14:textId="26070167" w:rsidR="00EF3FEB" w:rsidRPr="00867109" w:rsidRDefault="00FD4B33" w:rsidP="00EF3FEB">
      <w:pPr>
        <w:spacing w:line="264" w:lineRule="auto"/>
        <w:ind w:firstLineChars="0" w:firstLine="0"/>
        <w:rPr>
          <w:rFonts w:ascii="Calibri" w:hAnsi="Calibri" w:cs="Calibri"/>
          <w:lang w:val="en-GB"/>
        </w:rPr>
      </w:pPr>
      <w:r w:rsidRPr="00867109">
        <w:rPr>
          <w:rFonts w:ascii="Calibri" w:hAnsi="Calibri" w:cs="Calibri"/>
          <w:lang w:val="en-GB"/>
        </w:rPr>
        <w:t xml:space="preserve">To facilitate fast UL panel selection for a UE with multiple panels, we can make use of the unified TCI framework. </w:t>
      </w:r>
      <w:r w:rsidR="000B6E14" w:rsidRPr="00867109">
        <w:rPr>
          <w:rFonts w:ascii="Calibri" w:hAnsi="Calibri" w:cs="Calibri"/>
          <w:lang w:val="en-GB"/>
        </w:rPr>
        <w:t xml:space="preserve">In Rel. 16, an identifier was introduced to facilitate panel specific UL beam selection. Such an identifier is not needed when using </w:t>
      </w:r>
      <w:r w:rsidR="00FC18D0" w:rsidRPr="00867109">
        <w:rPr>
          <w:rFonts w:ascii="Calibri" w:hAnsi="Calibri" w:cs="Calibri"/>
          <w:lang w:val="en-GB"/>
        </w:rPr>
        <w:t>a joint TCI or an</w:t>
      </w:r>
      <w:r w:rsidR="000B6E14" w:rsidRPr="00867109">
        <w:rPr>
          <w:rFonts w:ascii="Calibri" w:hAnsi="Calibri" w:cs="Calibri"/>
          <w:lang w:val="en-GB"/>
        </w:rPr>
        <w:t xml:space="preserve"> UL TCI</w:t>
      </w:r>
      <w:r w:rsidR="00FC18D0" w:rsidRPr="00867109">
        <w:rPr>
          <w:rFonts w:ascii="Calibri" w:hAnsi="Calibri" w:cs="Calibri"/>
          <w:lang w:val="en-GB"/>
        </w:rPr>
        <w:t xml:space="preserve"> state</w:t>
      </w:r>
      <w:r w:rsidR="000B6E14" w:rsidRPr="00867109">
        <w:rPr>
          <w:rFonts w:ascii="Calibri" w:hAnsi="Calibri" w:cs="Calibri"/>
          <w:lang w:val="en-GB"/>
        </w:rPr>
        <w:t xml:space="preserve">. </w:t>
      </w:r>
      <w:r w:rsidR="00FC18D0" w:rsidRPr="00867109">
        <w:rPr>
          <w:rFonts w:ascii="Calibri" w:hAnsi="Calibri" w:cs="Calibri"/>
          <w:lang w:val="en-GB"/>
        </w:rPr>
        <w:t>The TCI state pool can itself be used to differentiate between the panels for UL transmission. One example is that a subset of the TCI states can be used to indicate a particular UE panel</w:t>
      </w:r>
      <w:r w:rsidR="006C2E1D" w:rsidRPr="00867109">
        <w:rPr>
          <w:rFonts w:ascii="Calibri" w:hAnsi="Calibri" w:cs="Calibri"/>
          <w:lang w:val="en-GB"/>
        </w:rPr>
        <w:t xml:space="preserve">, and the network can infer the UE panel from the TCI state update. </w:t>
      </w:r>
    </w:p>
    <w:p w14:paraId="2C4618F4" w14:textId="6B316268" w:rsidR="000B6E14" w:rsidRPr="00867109" w:rsidRDefault="000B6E14" w:rsidP="00D03C77">
      <w:pPr>
        <w:spacing w:line="264" w:lineRule="auto"/>
        <w:ind w:firstLineChars="0" w:firstLine="0"/>
        <w:rPr>
          <w:rFonts w:ascii="Calibri" w:hAnsi="Calibri" w:cs="Calibri"/>
          <w:lang w:val="en-GB"/>
        </w:rPr>
      </w:pPr>
      <w:r w:rsidRPr="00867109">
        <w:rPr>
          <w:rFonts w:ascii="Calibri" w:hAnsi="Calibri" w:cs="Calibri"/>
          <w:b/>
          <w:bCs/>
          <w:lang w:val="en-GB"/>
        </w:rPr>
        <w:t xml:space="preserve">Proposal </w:t>
      </w:r>
      <w:r w:rsidR="00EF3FEB" w:rsidRPr="00867109">
        <w:rPr>
          <w:rFonts w:ascii="Calibri" w:hAnsi="Calibri" w:cs="Calibri"/>
          <w:b/>
          <w:bCs/>
          <w:lang w:val="en-GB"/>
        </w:rPr>
        <w:t>6</w:t>
      </w:r>
      <w:r w:rsidRPr="00867109">
        <w:rPr>
          <w:rFonts w:ascii="Calibri" w:hAnsi="Calibri" w:cs="Calibri"/>
          <w:b/>
          <w:bCs/>
          <w:lang w:val="en-GB"/>
        </w:rPr>
        <w:t xml:space="preserve">: </w:t>
      </w:r>
      <w:r w:rsidR="00FC18D0" w:rsidRPr="00867109">
        <w:rPr>
          <w:rFonts w:ascii="Calibri" w:hAnsi="Calibri" w:cs="Calibri"/>
          <w:b/>
          <w:bCs/>
          <w:lang w:val="en-GB"/>
        </w:rPr>
        <w:t>Explicit p</w:t>
      </w:r>
      <w:r w:rsidRPr="00867109">
        <w:rPr>
          <w:rFonts w:ascii="Calibri" w:hAnsi="Calibri" w:cs="Calibri"/>
          <w:b/>
          <w:bCs/>
          <w:lang w:val="en-GB"/>
        </w:rPr>
        <w:t xml:space="preserve">anel identifier is not needed </w:t>
      </w:r>
      <w:r w:rsidR="00FC18D0" w:rsidRPr="00867109">
        <w:rPr>
          <w:rFonts w:ascii="Calibri" w:hAnsi="Calibri" w:cs="Calibri"/>
          <w:b/>
          <w:bCs/>
          <w:lang w:val="en-GB"/>
        </w:rPr>
        <w:t xml:space="preserve">for fast panel selection </w:t>
      </w:r>
    </w:p>
    <w:p w14:paraId="70241230" w14:textId="780C66D0" w:rsidR="00990115" w:rsidRDefault="005B7599" w:rsidP="00401124">
      <w:pPr>
        <w:pStyle w:val="Heading1"/>
      </w:pPr>
      <w:r>
        <w:lastRenderedPageBreak/>
        <w:t xml:space="preserve">[Issue 6] </w:t>
      </w:r>
      <w:r w:rsidR="00FC18D0">
        <w:t xml:space="preserve">Enhancements for Improved Coverage and Reduced Latency </w:t>
      </w:r>
    </w:p>
    <w:p w14:paraId="68300180" w14:textId="10A4FCA0" w:rsidR="00A0044C" w:rsidRDefault="00B80711" w:rsidP="00990115">
      <w:pPr>
        <w:pStyle w:val="maintext"/>
      </w:pPr>
      <w:r w:rsidRPr="00867109">
        <w:t xml:space="preserve">One of the objectives of the beam management agenda item in Rel. 17 is to identify and specify features that facilitate a more efficient beam management procedure. </w:t>
      </w:r>
      <w:r w:rsidR="00A0044C">
        <w:t>In RAN1#103e, the following proposal was debated</w:t>
      </w:r>
      <w:r w:rsidR="001A6A15">
        <w:t>, but no conclusion was reached following companies concerns on scope and priority.</w:t>
      </w:r>
    </w:p>
    <w:p w14:paraId="6F6DF48B" w14:textId="77777777" w:rsidR="001A6A15" w:rsidRPr="00CB2E0B" w:rsidRDefault="001A6A15" w:rsidP="001A6A15">
      <w:pPr>
        <w:snapToGrid w:val="0"/>
      </w:pPr>
      <w:r w:rsidRPr="00CB2E0B">
        <w:rPr>
          <w:b/>
          <w:u w:val="single"/>
        </w:rPr>
        <w:t>Proposal 6.A</w:t>
      </w:r>
      <w:r w:rsidRPr="00CB2E0B">
        <w:t xml:space="preserve">: Investigate and, if needed, specify </w:t>
      </w:r>
      <w:r w:rsidRPr="00CB2E0B">
        <w:rPr>
          <w:i/>
        </w:rPr>
        <w:t>at least</w:t>
      </w:r>
      <w:r w:rsidRPr="00CB2E0B">
        <w:t xml:space="preserve"> the following enhancements for beam refinement/tracking in Rel.17</w:t>
      </w:r>
      <w:r>
        <w:t xml:space="preserve"> (with lower priority than the other five issues and later starting point during the WI phase)</w:t>
      </w:r>
      <w:r w:rsidRPr="00CB2E0B">
        <w:t>:</w:t>
      </w:r>
    </w:p>
    <w:p w14:paraId="684B7014" w14:textId="77777777" w:rsidR="001A6A15" w:rsidRPr="00CB2E0B" w:rsidRDefault="001A6A15" w:rsidP="001A6A15">
      <w:pPr>
        <w:pStyle w:val="ListParagraph"/>
        <w:numPr>
          <w:ilvl w:val="0"/>
          <w:numId w:val="43"/>
        </w:numPr>
        <w:snapToGrid w:val="0"/>
        <w:spacing w:before="0" w:line="240" w:lineRule="auto"/>
        <w:ind w:firstLineChars="0"/>
        <w:rPr>
          <w:rFonts w:ascii="Times New Roman" w:hAnsi="Times New Roman"/>
          <w:sz w:val="20"/>
          <w:szCs w:val="20"/>
        </w:rPr>
      </w:pPr>
      <w:r>
        <w:rPr>
          <w:rFonts w:ascii="Times New Roman" w:hAnsi="Times New Roman"/>
          <w:sz w:val="20"/>
          <w:szCs w:val="20"/>
        </w:rPr>
        <w:t xml:space="preserve">Group 1: </w:t>
      </w:r>
      <w:r w:rsidRPr="00CB2E0B">
        <w:rPr>
          <w:rFonts w:ascii="Times New Roman" w:hAnsi="Times New Roman"/>
          <w:sz w:val="20"/>
          <w:szCs w:val="20"/>
        </w:rPr>
        <w:t>Beam measurement and reporting enhancement via RACH (</w:t>
      </w:r>
      <w:proofErr w:type="gramStart"/>
      <w:r w:rsidRPr="00CB2E0B">
        <w:rPr>
          <w:rFonts w:ascii="Times New Roman" w:hAnsi="Times New Roman"/>
          <w:sz w:val="20"/>
          <w:szCs w:val="20"/>
        </w:rPr>
        <w:t>e.g.</w:t>
      </w:r>
      <w:proofErr w:type="gramEnd"/>
      <w:r w:rsidRPr="00CB2E0B">
        <w:rPr>
          <w:rFonts w:ascii="Times New Roman" w:hAnsi="Times New Roman"/>
          <w:sz w:val="20"/>
          <w:szCs w:val="20"/>
        </w:rPr>
        <w:t xml:space="preserve"> RO for measurement and MSG3 for reporting) </w:t>
      </w:r>
    </w:p>
    <w:p w14:paraId="3117AB93" w14:textId="77777777" w:rsidR="001A6A15" w:rsidRPr="00CB2E0B" w:rsidRDefault="001A6A15" w:rsidP="001A6A15">
      <w:pPr>
        <w:pStyle w:val="ListParagraph"/>
        <w:numPr>
          <w:ilvl w:val="0"/>
          <w:numId w:val="43"/>
        </w:numPr>
        <w:snapToGrid w:val="0"/>
        <w:spacing w:before="0" w:line="240" w:lineRule="auto"/>
        <w:ind w:firstLineChars="0"/>
        <w:rPr>
          <w:rFonts w:ascii="Times New Roman" w:hAnsi="Times New Roman"/>
          <w:sz w:val="20"/>
          <w:szCs w:val="20"/>
        </w:rPr>
      </w:pPr>
      <w:r>
        <w:rPr>
          <w:rFonts w:ascii="Times New Roman" w:hAnsi="Times New Roman"/>
          <w:sz w:val="20"/>
          <w:szCs w:val="20"/>
        </w:rPr>
        <w:t xml:space="preserve">Group 2: </w:t>
      </w:r>
      <w:r w:rsidRPr="00CB2E0B">
        <w:rPr>
          <w:rFonts w:ascii="Times New Roman" w:hAnsi="Times New Roman"/>
          <w:sz w:val="20"/>
          <w:szCs w:val="20"/>
        </w:rPr>
        <w:t xml:space="preserve">Improving efficiency (latency and/or overhead) of beam refinement assuming the unified TCI framework (issue 1): </w:t>
      </w:r>
    </w:p>
    <w:p w14:paraId="741DE6FD"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 xml:space="preserve">Enabling joint DL TX and RX beam refinement/tracking (P2+P3)  </w:t>
      </w:r>
    </w:p>
    <w:p w14:paraId="3A3367C7"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Additional UE report to aid P1/P2/P3 related measurement/report configuration (triggering frequency or periodicity)</w:t>
      </w:r>
    </w:p>
    <w:p w14:paraId="61211E79" w14:textId="77777777" w:rsidR="001A6A15" w:rsidRPr="00CB2E0B" w:rsidRDefault="001A6A15" w:rsidP="001A6A15">
      <w:pPr>
        <w:pStyle w:val="ListParagraph"/>
        <w:numPr>
          <w:ilvl w:val="0"/>
          <w:numId w:val="43"/>
        </w:numPr>
        <w:snapToGrid w:val="0"/>
        <w:spacing w:before="0" w:line="240" w:lineRule="auto"/>
        <w:ind w:firstLineChars="0"/>
        <w:rPr>
          <w:rFonts w:ascii="Times New Roman" w:hAnsi="Times New Roman"/>
          <w:sz w:val="20"/>
          <w:szCs w:val="20"/>
        </w:rPr>
      </w:pPr>
      <w:r>
        <w:rPr>
          <w:rFonts w:ascii="Times New Roman" w:hAnsi="Times New Roman"/>
          <w:sz w:val="20"/>
          <w:szCs w:val="20"/>
        </w:rPr>
        <w:t xml:space="preserve">Group 3: </w:t>
      </w:r>
      <w:r w:rsidRPr="00CB2E0B">
        <w:rPr>
          <w:rFonts w:ascii="Times New Roman" w:hAnsi="Times New Roman"/>
          <w:sz w:val="20"/>
          <w:szCs w:val="20"/>
        </w:rPr>
        <w:t xml:space="preserve">Beam management with reduced DL signaling assuming the unified TCI framework (issue 1): </w:t>
      </w:r>
    </w:p>
    <w:p w14:paraId="4E9AF859"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Dynamic beam update based on beam report (without beam indication)</w:t>
      </w:r>
    </w:p>
    <w:p w14:paraId="2A3659DB"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Dynamic beam measurement and report triggered by beam indication (without CSI-RS/CSI triggering)</w:t>
      </w:r>
    </w:p>
    <w:p w14:paraId="0221F324"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Configuring/indicating to UE multiple SSBs for beam tracking</w:t>
      </w:r>
    </w:p>
    <w:p w14:paraId="6B79519D"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 xml:space="preserve">Semi-static/pre-planned (RRC based) beam transition (for, </w:t>
      </w:r>
      <w:proofErr w:type="gramStart"/>
      <w:r w:rsidRPr="00CB2E0B">
        <w:rPr>
          <w:rFonts w:ascii="Times New Roman" w:hAnsi="Times New Roman"/>
          <w:sz w:val="20"/>
          <w:szCs w:val="20"/>
        </w:rPr>
        <w:t>e.g.</w:t>
      </w:r>
      <w:proofErr w:type="gramEnd"/>
      <w:r w:rsidRPr="00CB2E0B">
        <w:rPr>
          <w:rFonts w:ascii="Times New Roman" w:hAnsi="Times New Roman"/>
          <w:sz w:val="20"/>
          <w:szCs w:val="20"/>
        </w:rPr>
        <w:t xml:space="preserve"> isolated HST deployment)</w:t>
      </w:r>
    </w:p>
    <w:p w14:paraId="283CF451" w14:textId="77777777" w:rsidR="001A6A15" w:rsidRPr="00CB2E0B" w:rsidRDefault="001A6A15" w:rsidP="001A6A15">
      <w:pPr>
        <w:pStyle w:val="ListParagraph"/>
        <w:numPr>
          <w:ilvl w:val="1"/>
          <w:numId w:val="43"/>
        </w:numPr>
        <w:snapToGrid w:val="0"/>
        <w:spacing w:before="0" w:line="240" w:lineRule="auto"/>
        <w:ind w:firstLineChars="0"/>
        <w:rPr>
          <w:rFonts w:ascii="Times New Roman" w:hAnsi="Times New Roman"/>
          <w:sz w:val="20"/>
          <w:szCs w:val="20"/>
        </w:rPr>
      </w:pPr>
      <w:r w:rsidRPr="00CB2E0B">
        <w:rPr>
          <w:rFonts w:ascii="Times New Roman" w:hAnsi="Times New Roman"/>
          <w:sz w:val="20"/>
          <w:szCs w:val="20"/>
        </w:rPr>
        <w:t>Reducing activation delay of TCI states (</w:t>
      </w:r>
      <w:proofErr w:type="gramStart"/>
      <w:r w:rsidRPr="00CB2E0B">
        <w:rPr>
          <w:rFonts w:ascii="Times New Roman" w:hAnsi="Times New Roman"/>
          <w:sz w:val="20"/>
          <w:szCs w:val="20"/>
        </w:rPr>
        <w:t>e.g.</w:t>
      </w:r>
      <w:proofErr w:type="gramEnd"/>
      <w:r w:rsidRPr="00CB2E0B">
        <w:rPr>
          <w:rFonts w:ascii="Times New Roman" w:hAnsi="Times New Roman"/>
          <w:sz w:val="20"/>
          <w:szCs w:val="20"/>
        </w:rPr>
        <w:t xml:space="preserve"> via storing QCL properties of a subset of source RSs for a time period)</w:t>
      </w:r>
    </w:p>
    <w:p w14:paraId="4B7078F4" w14:textId="4A6F673E" w:rsidR="00A0044C" w:rsidRDefault="00A0044C" w:rsidP="00990115">
      <w:pPr>
        <w:pStyle w:val="maintext"/>
      </w:pPr>
    </w:p>
    <w:p w14:paraId="2ED88626" w14:textId="1B7F512E" w:rsidR="001A6A15" w:rsidRDefault="001A6A15" w:rsidP="00990115">
      <w:pPr>
        <w:pStyle w:val="maintext"/>
      </w:pPr>
      <w:r>
        <w:t>In our opinion, the topics in this issue are very important to specify, as the issue of improved coverage and latency has not been fully addressed in the other issues being specified in this agenda item. We thus support investigating and specifying these enhancements for beam refinement and tracking in Rel. 17.</w:t>
      </w:r>
    </w:p>
    <w:p w14:paraId="0621B503" w14:textId="7E5A0D33" w:rsidR="00A0044C" w:rsidRDefault="00A0044C" w:rsidP="00990115">
      <w:pPr>
        <w:pStyle w:val="maintext"/>
      </w:pPr>
    </w:p>
    <w:p w14:paraId="5FB96645" w14:textId="622875B1" w:rsidR="001A6A15" w:rsidRDefault="001A6A15" w:rsidP="00990115">
      <w:pPr>
        <w:pStyle w:val="maintext"/>
      </w:pPr>
      <w:r>
        <w:t xml:space="preserve">We propose beam refinement and tracking enhancement applicable in initial access to improve the latency and coverage of the DL channels in initial access as well as other channels and signals for connected UEs. </w:t>
      </w:r>
    </w:p>
    <w:p w14:paraId="5B909823" w14:textId="01A6F8B2" w:rsidR="005B7599" w:rsidRDefault="005B7599" w:rsidP="00990115">
      <w:pPr>
        <w:pStyle w:val="maintext"/>
      </w:pPr>
      <w:r>
        <w:t xml:space="preserve">In RAN1#103e, concerns were raised on the relevance of such an improvement method to the scope of discussion in the beam management agenda item. Some companies claiming that initial access improvements are not within the scope of beam management. In our understanding, beam management enhancements are best handled </w:t>
      </w:r>
      <w:r w:rsidR="00A0044C">
        <w:t xml:space="preserve">in this agenda item, as the expertise on beam management procedure enhancements and performance improvements for different channels lies within this group. </w:t>
      </w:r>
    </w:p>
    <w:p w14:paraId="356AC8BC" w14:textId="77777777" w:rsidR="005B7599" w:rsidRDefault="005B7599" w:rsidP="00990115">
      <w:pPr>
        <w:pStyle w:val="maintext"/>
      </w:pPr>
    </w:p>
    <w:p w14:paraId="5F20ADA3" w14:textId="2F346A1B" w:rsidR="00176ECF" w:rsidRPr="00867109" w:rsidRDefault="00513577" w:rsidP="00990115">
      <w:pPr>
        <w:pStyle w:val="maintext"/>
      </w:pPr>
      <w:r w:rsidRPr="00867109">
        <w:t xml:space="preserve">During initial cell search, in the NR 4-step random access procedure, beam measurement and reporting is performed using SS/PBCH blocks. The </w:t>
      </w:r>
      <w:proofErr w:type="spellStart"/>
      <w:r w:rsidRPr="00867109">
        <w:t>gNB</w:t>
      </w:r>
      <w:proofErr w:type="spellEnd"/>
      <w:r w:rsidRPr="00867109">
        <w:t xml:space="preserve"> transmits multiple SS/PBCH blocks with different spatial filters, and the UE measures and selects the beam based on SS-RSRP. The UE transmits the PRACH according to the detected best beam. At the </w:t>
      </w:r>
      <w:proofErr w:type="spellStart"/>
      <w:r w:rsidRPr="00867109">
        <w:t>gNB</w:t>
      </w:r>
      <w:proofErr w:type="spellEnd"/>
      <w:r w:rsidRPr="00867109">
        <w:t>, the SS/PBCH block is derived from the PRACH preamble/resource of msg. 1.</w:t>
      </w:r>
      <w:r w:rsidR="00FE0187" w:rsidRPr="00867109">
        <w:t xml:space="preserve"> </w:t>
      </w:r>
      <w:r w:rsidR="00176ECF" w:rsidRPr="00867109">
        <w:t xml:space="preserve">The </w:t>
      </w:r>
      <w:proofErr w:type="spellStart"/>
      <w:r w:rsidR="00176ECF" w:rsidRPr="00867109">
        <w:t>gNB</w:t>
      </w:r>
      <w:proofErr w:type="spellEnd"/>
      <w:r w:rsidR="00176ECF" w:rsidRPr="00867109">
        <w:t xml:space="preserve"> then uses the selected beam based on msg. 1 for subsequent msg.2</w:t>
      </w:r>
      <w:r w:rsidR="00B80711" w:rsidRPr="00867109">
        <w:t xml:space="preserve">, </w:t>
      </w:r>
      <w:r w:rsidR="00176ECF" w:rsidRPr="00867109">
        <w:t>msg.4 PDSCH transmissions</w:t>
      </w:r>
      <w:r w:rsidR="00B80711" w:rsidRPr="00867109">
        <w:t xml:space="preserve">, </w:t>
      </w:r>
      <w:r w:rsidR="00176ECF" w:rsidRPr="00867109">
        <w:t xml:space="preserve"> </w:t>
      </w:r>
    </w:p>
    <w:p w14:paraId="580733C9" w14:textId="19FEB26B" w:rsidR="00682F0E" w:rsidRPr="00867109" w:rsidRDefault="00682F0E" w:rsidP="00223ED0">
      <w:pPr>
        <w:pStyle w:val="maintext"/>
      </w:pPr>
    </w:p>
    <w:p w14:paraId="4E8B479A" w14:textId="77777777" w:rsidR="00682F0E" w:rsidRPr="00867109" w:rsidRDefault="00682F0E" w:rsidP="00682F0E">
      <w:pPr>
        <w:pStyle w:val="maintext"/>
        <w:jc w:val="center"/>
      </w:pPr>
      <w:r w:rsidRPr="00867109">
        <w:rPr>
          <w:noProof/>
          <w:lang w:val="en-US" w:eastAsia="en-US"/>
        </w:rPr>
        <w:lastRenderedPageBreak/>
        <mc:AlternateContent>
          <mc:Choice Requires="wps">
            <w:drawing>
              <wp:anchor distT="0" distB="0" distL="114300" distR="114300" simplePos="0" relativeHeight="251659264" behindDoc="0" locked="0" layoutInCell="1" allowOverlap="1" wp14:anchorId="03DADDC3" wp14:editId="7E7A40C7">
                <wp:simplePos x="0" y="0"/>
                <wp:positionH relativeFrom="column">
                  <wp:posOffset>887730</wp:posOffset>
                </wp:positionH>
                <wp:positionV relativeFrom="paragraph">
                  <wp:posOffset>2858770</wp:posOffset>
                </wp:positionV>
                <wp:extent cx="4315460" cy="361950"/>
                <wp:effectExtent l="1905" t="0" r="0" b="635"/>
                <wp:wrapTopAndBottom/>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546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36088" w14:textId="77777777" w:rsidR="00682F0E" w:rsidRPr="00A63284" w:rsidRDefault="00682F0E" w:rsidP="00682F0E">
                            <w:pPr>
                              <w:pStyle w:val="Caption"/>
                              <w:ind w:firstLine="181"/>
                              <w:rPr>
                                <w:rFonts w:ascii="Calibri"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DADDC3" id="_x0000_t202" coordsize="21600,21600" o:spt="202" path="m,l,21600r21600,l21600,xe">
                <v:stroke joinstyle="miter"/>
                <v:path gradientshapeok="t" o:connecttype="rect"/>
              </v:shapetype>
              <v:shape id="Text Box 46" o:spid="_x0000_s1026" type="#_x0000_t202" style="position:absolute;left:0;text-align:left;margin-left:69.9pt;margin-top:225.1pt;width:339.8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" stroked="f">
                <v:textbox style="mso-fit-shape-to-text:t" inset="0,0,0,0">
                  <w:txbxContent>
                    <w:p w14:paraId="7AB36088" w14:textId="77777777" w:rsidR="00682F0E" w:rsidRPr="00A63284" w:rsidRDefault="00682F0E" w:rsidP="00682F0E">
                      <w:pPr>
                        <w:pStyle w:val="Caption"/>
                        <w:ind w:firstLine="181"/>
                        <w:rPr>
                          <w:rFonts w:ascii="Calibri"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v:textbox>
                <w10:wrap type="topAndBottom"/>
              </v:shape>
            </w:pict>
          </mc:Fallback>
        </mc:AlternateContent>
      </w:r>
      <w:r w:rsidRPr="00867109">
        <w:rPr>
          <w:rFonts w:eastAsia="SimSun" w:cs="Arial"/>
          <w:noProof/>
          <w:lang w:val="en-US" w:eastAsia="en-US"/>
        </w:rPr>
        <w:drawing>
          <wp:inline distT="0" distB="0" distL="0" distR="0" wp14:anchorId="33140250" wp14:editId="21A97FD2">
            <wp:extent cx="4315460" cy="2698750"/>
            <wp:effectExtent l="0" t="0" r="0" b="6350"/>
            <wp:docPr id="45" name="Picture 4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A picture containing graphical user interfac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5460" cy="2698750"/>
                    </a:xfrm>
                    <a:prstGeom prst="rect">
                      <a:avLst/>
                    </a:prstGeom>
                    <a:noFill/>
                  </pic:spPr>
                </pic:pic>
              </a:graphicData>
            </a:graphic>
          </wp:inline>
        </w:drawing>
      </w:r>
    </w:p>
    <w:p w14:paraId="5046C512" w14:textId="77777777" w:rsidR="00682F0E" w:rsidRPr="00867109" w:rsidRDefault="00682F0E" w:rsidP="00682F0E">
      <w:pPr>
        <w:pStyle w:val="maintext"/>
      </w:pPr>
    </w:p>
    <w:p w14:paraId="5B0F72C9" w14:textId="77777777" w:rsidR="00682F0E" w:rsidRPr="00867109" w:rsidRDefault="00682F0E" w:rsidP="00223ED0">
      <w:pPr>
        <w:pStyle w:val="maintext"/>
      </w:pPr>
    </w:p>
    <w:p w14:paraId="18ECE6E1" w14:textId="12300A48" w:rsidR="0092006E" w:rsidRPr="00867109" w:rsidRDefault="00223ED0" w:rsidP="00223ED0">
      <w:pPr>
        <w:pStyle w:val="maintext"/>
      </w:pPr>
      <w:r w:rsidRPr="00867109">
        <w:t xml:space="preserve">In addition to the DL Tx beam obtained at the </w:t>
      </w:r>
      <w:proofErr w:type="spellStart"/>
      <w:r w:rsidRPr="00867109">
        <w:t>gNB</w:t>
      </w:r>
      <w:proofErr w:type="spellEnd"/>
      <w:r w:rsidRPr="00867109">
        <w:t xml:space="preserve"> based on the detected RACH preamble resource and used </w:t>
      </w:r>
    </w:p>
    <w:p w14:paraId="460FA341" w14:textId="1AE1D352" w:rsidR="00223ED0" w:rsidRPr="00867109" w:rsidRDefault="00223ED0" w:rsidP="00223ED0">
      <w:pPr>
        <w:pStyle w:val="maintext"/>
      </w:pPr>
      <w:r w:rsidRPr="00867109">
        <w:t xml:space="preserve">for DL Tx beam in msg. 2, and msg. 4 of the RACH procedure, the UE can indicate the beam ID(s) of alternative DL Tx beams that can be used for transmission at the </w:t>
      </w:r>
      <w:proofErr w:type="spellStart"/>
      <w:r w:rsidRPr="00867109">
        <w:t>gNB</w:t>
      </w:r>
      <w:proofErr w:type="spellEnd"/>
      <w:r w:rsidRPr="00867109">
        <w:t xml:space="preserve"> in msg. 3 payload. The alternative DL Tx beam(s) are measured at the UE using SS-</w:t>
      </w:r>
      <w:r w:rsidR="005B3F3E" w:rsidRPr="00867109">
        <w:t>RSRP and</w:t>
      </w:r>
      <w:r w:rsidRPr="00867109">
        <w:t xml:space="preserve"> are determined at the UE to be good candidate DL Tx beams. This is further illustrated in Figure 1 whereas SS-3 is identified for transmission for msg. 2 and indicated using the PRACH preamble/resource, and SS-2 is further measured at the UE using SS-RSRP to be a good </w:t>
      </w:r>
      <w:r w:rsidR="005B3F3E" w:rsidRPr="00867109">
        <w:t xml:space="preserve">alternative </w:t>
      </w:r>
      <w:r w:rsidRPr="00867109">
        <w:t xml:space="preserve">candidate for DL Tx beam. </w:t>
      </w:r>
      <w:r w:rsidR="005B3F3E" w:rsidRPr="00867109">
        <w:t>SS-</w:t>
      </w:r>
      <w:r w:rsidR="009F08AE" w:rsidRPr="00867109">
        <w:t>2</w:t>
      </w:r>
      <w:r w:rsidR="005B3F3E" w:rsidRPr="00867109">
        <w:t xml:space="preserve"> is then explicitly indicated in msg. 3 as an alternative beam to be used for subsequent channels. </w:t>
      </w:r>
    </w:p>
    <w:p w14:paraId="40BDB04F" w14:textId="00FDECE5" w:rsidR="00682F0E" w:rsidRPr="00867109" w:rsidRDefault="005B3F3E" w:rsidP="005B3F3E">
      <w:pPr>
        <w:pStyle w:val="maintext"/>
        <w:rPr>
          <w:rFonts w:eastAsia="SimSun" w:cs="Arial"/>
          <w:b/>
        </w:rPr>
      </w:pPr>
      <w:r w:rsidRPr="00867109">
        <w:rPr>
          <w:rFonts w:eastAsia="SimSun" w:cs="Arial"/>
          <w:b/>
        </w:rPr>
        <w:t xml:space="preserve">Proposal </w:t>
      </w:r>
      <w:r w:rsidR="00FC18D0" w:rsidRPr="00867109">
        <w:rPr>
          <w:rFonts w:eastAsia="SimSun" w:cs="Arial"/>
          <w:b/>
        </w:rPr>
        <w:t>7</w:t>
      </w:r>
      <w:r w:rsidRPr="00867109">
        <w:rPr>
          <w:rFonts w:eastAsia="SimSun" w:cs="Arial"/>
          <w:b/>
        </w:rPr>
        <w:t>: Study beam adjustment reporting in msg. 3</w:t>
      </w:r>
      <w:r w:rsidR="00553FC0" w:rsidRPr="00867109">
        <w:rPr>
          <w:rFonts w:eastAsia="SimSun" w:cs="Arial"/>
          <w:b/>
        </w:rPr>
        <w:t xml:space="preserve"> of the RACH procedure</w:t>
      </w:r>
    </w:p>
    <w:p w14:paraId="6B15C03C" w14:textId="12A4AE14" w:rsidR="00AC6EB3" w:rsidRPr="00867109" w:rsidRDefault="005B3F3E" w:rsidP="00682F0E">
      <w:pPr>
        <w:pStyle w:val="maintext"/>
        <w:rPr>
          <w:rFonts w:eastAsia="SimSun" w:cs="Arial"/>
          <w:bCs/>
        </w:rPr>
      </w:pPr>
      <w:r w:rsidRPr="00867109">
        <w:rPr>
          <w:rFonts w:eastAsia="SimSun" w:cs="Arial"/>
          <w:bCs/>
        </w:rPr>
        <w:t xml:space="preserve">When the alternative DL Tx beam(s) are indicated in msg. 3, the </w:t>
      </w:r>
      <w:proofErr w:type="spellStart"/>
      <w:r w:rsidRPr="00867109">
        <w:rPr>
          <w:rFonts w:eastAsia="SimSun" w:cs="Arial"/>
          <w:bCs/>
        </w:rPr>
        <w:t>gNB</w:t>
      </w:r>
      <w:proofErr w:type="spellEnd"/>
      <w:r w:rsidRPr="00867109">
        <w:rPr>
          <w:rFonts w:eastAsia="SimSun" w:cs="Arial"/>
          <w:bCs/>
        </w:rPr>
        <w:t xml:space="preserve"> can make use of the beam adjustment information for DL transmission to the UE. When msg. 3 is successfully decoded, the </w:t>
      </w:r>
      <w:proofErr w:type="spellStart"/>
      <w:r w:rsidRPr="00867109">
        <w:rPr>
          <w:rFonts w:eastAsia="SimSun" w:cs="Arial"/>
          <w:bCs/>
        </w:rPr>
        <w:t>gNB</w:t>
      </w:r>
      <w:proofErr w:type="spellEnd"/>
      <w:r w:rsidRPr="00867109">
        <w:rPr>
          <w:rFonts w:eastAsia="SimSun" w:cs="Arial"/>
          <w:bCs/>
        </w:rPr>
        <w:t xml:space="preserve"> has access to at least two beams to use for DL channels. The </w:t>
      </w:r>
      <w:proofErr w:type="spellStart"/>
      <w:r w:rsidRPr="00867109">
        <w:rPr>
          <w:rFonts w:eastAsia="SimSun" w:cs="Arial"/>
          <w:bCs/>
        </w:rPr>
        <w:t>gNB</w:t>
      </w:r>
      <w:proofErr w:type="spellEnd"/>
      <w:r w:rsidRPr="00867109">
        <w:rPr>
          <w:rFonts w:eastAsia="SimSun" w:cs="Arial"/>
          <w:bCs/>
        </w:rPr>
        <w:t xml:space="preserve"> can then either choose the original beam or the new beam </w:t>
      </w:r>
      <w:r w:rsidR="00D52AFA" w:rsidRPr="00867109">
        <w:rPr>
          <w:rFonts w:eastAsia="SimSun" w:cs="Arial"/>
          <w:bCs/>
        </w:rPr>
        <w:t>for transmission</w:t>
      </w:r>
      <w:r w:rsidRPr="00867109">
        <w:rPr>
          <w:rFonts w:eastAsia="SimSun" w:cs="Arial"/>
          <w:bCs/>
        </w:rPr>
        <w:t xml:space="preserve"> of msg. </w:t>
      </w:r>
      <w:r w:rsidR="00D03C77" w:rsidRPr="00867109">
        <w:rPr>
          <w:rFonts w:eastAsia="SimSun" w:cs="Arial"/>
          <w:bCs/>
        </w:rPr>
        <w:t>4 or</w:t>
      </w:r>
      <w:r w:rsidRPr="00867109">
        <w:rPr>
          <w:rFonts w:eastAsia="SimSun" w:cs="Arial"/>
          <w:bCs/>
        </w:rPr>
        <w:t xml:space="preserve"> transmit the same msg. 4 on two beams. This increased diversity help improve the robustness and the coverage of </w:t>
      </w:r>
      <w:r w:rsidR="00564E6F" w:rsidRPr="00867109">
        <w:rPr>
          <w:rFonts w:eastAsia="SimSun" w:cs="Arial"/>
          <w:bCs/>
        </w:rPr>
        <w:t>physical channels in initial access/random access procedure</w:t>
      </w:r>
      <w:r w:rsidRPr="00867109">
        <w:rPr>
          <w:rFonts w:eastAsia="SimSun" w:cs="Arial"/>
          <w:bCs/>
        </w:rPr>
        <w:t xml:space="preserve">. It can further be useful </w:t>
      </w:r>
      <w:r w:rsidR="00564E6F" w:rsidRPr="00867109">
        <w:rPr>
          <w:rFonts w:eastAsia="SimSun" w:cs="Arial"/>
          <w:bCs/>
        </w:rPr>
        <w:t xml:space="preserve">for coverage enhancements for </w:t>
      </w:r>
      <w:r w:rsidRPr="00867109">
        <w:rPr>
          <w:rFonts w:eastAsia="SimSun" w:cs="Arial"/>
          <w:bCs/>
        </w:rPr>
        <w:t xml:space="preserve">subsequent connected mode </w:t>
      </w:r>
      <w:r w:rsidR="00D52AFA" w:rsidRPr="00867109">
        <w:rPr>
          <w:rFonts w:eastAsia="SimSun" w:cs="Arial"/>
          <w:bCs/>
        </w:rPr>
        <w:t xml:space="preserve">physical </w:t>
      </w:r>
      <w:r w:rsidRPr="00867109">
        <w:rPr>
          <w:rFonts w:eastAsia="SimSun" w:cs="Arial"/>
          <w:bCs/>
        </w:rPr>
        <w:t>channels</w:t>
      </w:r>
      <w:r w:rsidR="00564E6F" w:rsidRPr="00867109">
        <w:rPr>
          <w:rFonts w:eastAsia="SimSun" w:cs="Arial"/>
          <w:bCs/>
        </w:rPr>
        <w:t>.</w:t>
      </w:r>
      <w:r w:rsidRPr="00867109">
        <w:rPr>
          <w:rFonts w:eastAsia="SimSun" w:cs="Arial"/>
          <w:bCs/>
        </w:rPr>
        <w:t xml:space="preserve">  </w:t>
      </w:r>
    </w:p>
    <w:p w14:paraId="0CF9E585" w14:textId="77777777" w:rsidR="000B6E14" w:rsidRPr="00867109" w:rsidRDefault="000B6E14" w:rsidP="00B80711">
      <w:pPr>
        <w:spacing w:line="264" w:lineRule="auto"/>
        <w:ind w:firstLineChars="0" w:firstLine="0"/>
        <w:rPr>
          <w:rFonts w:ascii="Calibri" w:hAnsi="Calibri" w:cs="Calibri"/>
        </w:rPr>
      </w:pPr>
      <w:r w:rsidRPr="00867109">
        <w:rPr>
          <w:rFonts w:ascii="Calibri" w:hAnsi="Calibri" w:cs="Calibri"/>
        </w:rPr>
        <w:t xml:space="preserve">Whether the UE reports on an SS block index in msg. 3 can be indicated in system information (SI) and received by the UE. The system information can, for example, be included in the same SIB that contains information about random access parameters. </w:t>
      </w:r>
    </w:p>
    <w:p w14:paraId="34AB6218" w14:textId="76619840" w:rsidR="000B6E14" w:rsidRPr="00867109" w:rsidRDefault="000B6E14" w:rsidP="00E53F67">
      <w:pPr>
        <w:spacing w:line="264" w:lineRule="auto"/>
        <w:ind w:firstLineChars="0" w:firstLine="0"/>
        <w:rPr>
          <w:rFonts w:ascii="Calibri" w:hAnsi="Calibri" w:cs="Calibri"/>
          <w:b/>
        </w:rPr>
      </w:pPr>
      <w:r w:rsidRPr="00867109">
        <w:rPr>
          <w:rFonts w:ascii="Calibri" w:hAnsi="Calibri" w:cs="Calibri"/>
          <w:b/>
        </w:rPr>
        <w:t xml:space="preserve">Proposal </w:t>
      </w:r>
      <w:r w:rsidR="00FC18D0" w:rsidRPr="00867109">
        <w:rPr>
          <w:rFonts w:ascii="Calibri" w:hAnsi="Calibri" w:cs="Calibri"/>
          <w:b/>
        </w:rPr>
        <w:t>8</w:t>
      </w:r>
      <w:r w:rsidRPr="00867109">
        <w:rPr>
          <w:rFonts w:ascii="Calibri" w:hAnsi="Calibri" w:cs="Calibri"/>
          <w:b/>
        </w:rPr>
        <w:t xml:space="preserve">: </w:t>
      </w:r>
      <w:r w:rsidR="00553FC0" w:rsidRPr="00867109">
        <w:rPr>
          <w:rFonts w:ascii="Calibri" w:hAnsi="Calibri" w:cs="Calibri"/>
          <w:b/>
        </w:rPr>
        <w:t>The presence of SS block indices in msg. 3 can be indicated to the UE</w:t>
      </w: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0B37781B" w14:textId="2C3522EE" w:rsidR="00682F0E" w:rsidRPr="00674CD1" w:rsidRDefault="00682F0E" w:rsidP="00674CD1">
      <w:pPr>
        <w:rPr>
          <w:rFonts w:ascii="Calibri" w:hAnsi="Calibri" w:cs="Calibri"/>
        </w:rPr>
      </w:pPr>
      <w:r w:rsidRPr="00674CD1">
        <w:rPr>
          <w:rFonts w:ascii="Calibri" w:hAnsi="Calibri" w:cs="Calibri"/>
        </w:rPr>
        <w:t xml:space="preserve">In this contribution, we </w:t>
      </w:r>
      <w:r w:rsidR="00553FC0" w:rsidRPr="00674CD1">
        <w:rPr>
          <w:rFonts w:ascii="Calibri" w:hAnsi="Calibri" w:cs="Calibri"/>
        </w:rPr>
        <w:t xml:space="preserve">discussed enhancements on beam management. </w:t>
      </w:r>
      <w:r w:rsidRPr="00674CD1">
        <w:rPr>
          <w:rFonts w:ascii="Calibri" w:hAnsi="Calibri" w:cs="Calibri"/>
        </w:rPr>
        <w:t xml:space="preserve">We made the following </w:t>
      </w:r>
      <w:r w:rsidR="00553FC0" w:rsidRPr="00674CD1">
        <w:rPr>
          <w:rFonts w:ascii="Calibri" w:hAnsi="Calibri" w:cs="Calibri"/>
        </w:rPr>
        <w:t>proposals.</w:t>
      </w:r>
    </w:p>
    <w:p w14:paraId="6AE445EA" w14:textId="77777777" w:rsidR="001A6A15" w:rsidRPr="00674CD1" w:rsidRDefault="001A6A15" w:rsidP="001A6A15">
      <w:pPr>
        <w:snapToGrid w:val="0"/>
        <w:spacing w:before="0" w:line="264" w:lineRule="auto"/>
        <w:ind w:firstLineChars="0" w:firstLine="0"/>
        <w:contextualSpacing/>
        <w:jc w:val="left"/>
        <w:rPr>
          <w:rFonts w:ascii="Calibri" w:hAnsi="Calibri" w:cs="Calibri"/>
          <w:b/>
          <w:bCs/>
        </w:rPr>
      </w:pPr>
      <w:r>
        <w:rPr>
          <w:rFonts w:ascii="Calibri" w:hAnsi="Calibri" w:cs="Calibri"/>
          <w:b/>
          <w:bCs/>
        </w:rPr>
        <w:t xml:space="preserve">    </w:t>
      </w:r>
    </w:p>
    <w:p w14:paraId="05037CEC" w14:textId="37DDFA13" w:rsidR="001A6A15" w:rsidRPr="00674CD1" w:rsidRDefault="001A6A15" w:rsidP="00674CD1">
      <w:pPr>
        <w:snapToGrid w:val="0"/>
        <w:spacing w:before="0" w:line="264" w:lineRule="auto"/>
        <w:ind w:left="360" w:firstLineChars="0" w:firstLine="0"/>
        <w:contextualSpacing/>
        <w:rPr>
          <w:rFonts w:ascii="Calibri" w:hAnsi="Calibri" w:cs="Calibri"/>
          <w:b/>
          <w:bCs/>
        </w:rPr>
      </w:pPr>
      <w:r w:rsidRPr="00674CD1">
        <w:rPr>
          <w:rFonts w:ascii="Calibri" w:hAnsi="Calibri" w:cs="Calibri"/>
          <w:b/>
          <w:bCs/>
        </w:rPr>
        <w:t>Proposal 1: The unified TCI framework applies for multi-TRP scenarios</w:t>
      </w:r>
    </w:p>
    <w:p w14:paraId="71DC1EDB" w14:textId="527AF799" w:rsidR="001A6A15" w:rsidRPr="00674CD1" w:rsidRDefault="001A6A15" w:rsidP="00674CD1">
      <w:pPr>
        <w:snapToGrid w:val="0"/>
        <w:spacing w:before="0" w:line="264" w:lineRule="auto"/>
        <w:ind w:left="360" w:firstLineChars="0" w:firstLine="0"/>
        <w:contextualSpacing/>
        <w:rPr>
          <w:rFonts w:ascii="Calibri" w:hAnsi="Calibri" w:cs="Calibri"/>
          <w:b/>
          <w:bCs/>
        </w:rPr>
      </w:pPr>
      <w:r w:rsidRPr="00674CD1">
        <w:rPr>
          <w:rFonts w:ascii="Calibri" w:hAnsi="Calibri" w:cs="Calibri"/>
          <w:b/>
          <w:bCs/>
        </w:rPr>
        <w:t xml:space="preserve">Proposal 2: Support M&gt;= 1 TCIs to provide QCL information at least for UE-dedicated reception on PDSCH and </w:t>
      </w:r>
      <w:proofErr w:type="gramStart"/>
      <w:r w:rsidRPr="00674CD1">
        <w:rPr>
          <w:rFonts w:ascii="Calibri" w:hAnsi="Calibri" w:cs="Calibri"/>
          <w:b/>
          <w:bCs/>
        </w:rPr>
        <w:t>for  UE</w:t>
      </w:r>
      <w:proofErr w:type="gramEnd"/>
      <w:r w:rsidRPr="00674CD1">
        <w:rPr>
          <w:rFonts w:ascii="Calibri" w:hAnsi="Calibri" w:cs="Calibri"/>
          <w:b/>
          <w:bCs/>
        </w:rPr>
        <w:t xml:space="preserve">-dedicated reception on all or subset of CORESETs in a CC. </w:t>
      </w:r>
    </w:p>
    <w:p w14:paraId="3E4965F4" w14:textId="21418506" w:rsidR="001A6A15" w:rsidRPr="00674CD1" w:rsidRDefault="001A6A15" w:rsidP="00674CD1">
      <w:pPr>
        <w:snapToGrid w:val="0"/>
        <w:spacing w:before="0" w:line="264" w:lineRule="auto"/>
        <w:ind w:left="360" w:firstLineChars="0" w:firstLine="0"/>
        <w:contextualSpacing/>
        <w:rPr>
          <w:rFonts w:ascii="Calibri" w:hAnsi="Calibri" w:cs="Calibri"/>
          <w:b/>
          <w:bCs/>
        </w:rPr>
      </w:pPr>
      <w:r w:rsidRPr="00674CD1">
        <w:rPr>
          <w:rFonts w:ascii="Calibri" w:hAnsi="Calibri" w:cs="Calibri"/>
          <w:b/>
          <w:bCs/>
        </w:rPr>
        <w:lastRenderedPageBreak/>
        <w:t>Proposal 3: On Rel. 17 unified TCI framework, the source reference signal(s) in M TCIs can also provide common QCL information for one or more CSI-RS resources for CSI, CSI-RS for tracking, and some CSI-RS resource for BM.</w:t>
      </w:r>
    </w:p>
    <w:p w14:paraId="454200DF" w14:textId="2124D4FA" w:rsidR="001A6A15" w:rsidRPr="00674CD1" w:rsidRDefault="001A6A15" w:rsidP="00674CD1">
      <w:pPr>
        <w:snapToGrid w:val="0"/>
        <w:spacing w:before="0" w:line="264" w:lineRule="auto"/>
        <w:ind w:left="360" w:firstLineChars="0" w:firstLine="0"/>
        <w:contextualSpacing/>
        <w:rPr>
          <w:rFonts w:ascii="Calibri" w:hAnsi="Calibri" w:cs="Calibri"/>
        </w:rPr>
      </w:pPr>
      <w:r w:rsidRPr="00674CD1">
        <w:rPr>
          <w:rFonts w:ascii="Calibri" w:hAnsi="Calibri" w:cs="Calibri"/>
          <w:b/>
          <w:bCs/>
        </w:rPr>
        <w:t xml:space="preserve">Proposal 4: Two separate DL/UL TCI state pools are used for separate DL/UL TCI state update. </w:t>
      </w:r>
    </w:p>
    <w:p w14:paraId="73A6F3B6" w14:textId="5B562EC9" w:rsidR="001A6A15" w:rsidRPr="00674CD1" w:rsidRDefault="001A6A15" w:rsidP="00674CD1">
      <w:pPr>
        <w:snapToGrid w:val="0"/>
        <w:spacing w:before="0" w:line="264" w:lineRule="auto"/>
        <w:ind w:left="360" w:firstLineChars="0" w:firstLine="0"/>
        <w:contextualSpacing/>
        <w:rPr>
          <w:rFonts w:ascii="Calibri" w:hAnsi="Calibri" w:cs="Calibri"/>
          <w:b/>
          <w:bCs/>
        </w:rPr>
      </w:pPr>
      <w:r w:rsidRPr="00674CD1">
        <w:rPr>
          <w:rFonts w:ascii="Calibri" w:hAnsi="Calibri" w:cs="Calibri"/>
          <w:b/>
          <w:bCs/>
        </w:rPr>
        <w:t>Proposal 5: A PL-RS can be configured in a TCI state in a Rel. 17 unified TCI framework</w:t>
      </w:r>
    </w:p>
    <w:p w14:paraId="0A8C34A7" w14:textId="77777777" w:rsidR="00D03C77" w:rsidRPr="00674CD1" w:rsidRDefault="00553FC0" w:rsidP="00674CD1">
      <w:pPr>
        <w:snapToGrid w:val="0"/>
        <w:spacing w:before="0" w:line="264" w:lineRule="auto"/>
        <w:ind w:left="360" w:firstLineChars="0" w:firstLine="0"/>
        <w:contextualSpacing/>
        <w:rPr>
          <w:rFonts w:ascii="Calibri" w:hAnsi="Calibri" w:cs="Calibri"/>
          <w:b/>
          <w:bCs/>
          <w:lang w:val="en-GB"/>
        </w:rPr>
      </w:pPr>
      <w:r w:rsidRPr="00674CD1">
        <w:rPr>
          <w:rFonts w:ascii="Calibri" w:hAnsi="Calibri" w:cs="Calibri"/>
          <w:b/>
          <w:bCs/>
          <w:lang w:val="en-GB"/>
        </w:rPr>
        <w:t>Proposal 6: Explicit panel identifier is not needed for fast panel selection</w:t>
      </w:r>
      <w:r w:rsidR="00D03C77" w:rsidRPr="00674CD1">
        <w:rPr>
          <w:rFonts w:ascii="Calibri" w:hAnsi="Calibri" w:cs="Calibri"/>
          <w:b/>
          <w:bCs/>
          <w:lang w:val="en-GB"/>
        </w:rPr>
        <w:t xml:space="preserve">. </w:t>
      </w:r>
    </w:p>
    <w:p w14:paraId="17B5E6E9" w14:textId="77777777" w:rsidR="00D03C77" w:rsidRPr="00674CD1" w:rsidRDefault="00553FC0" w:rsidP="00674CD1">
      <w:pPr>
        <w:snapToGrid w:val="0"/>
        <w:spacing w:before="0" w:line="264" w:lineRule="auto"/>
        <w:ind w:left="360" w:firstLineChars="0" w:firstLine="0"/>
        <w:contextualSpacing/>
        <w:rPr>
          <w:rFonts w:ascii="Calibri" w:hAnsi="Calibri" w:cs="Calibri"/>
          <w:b/>
          <w:bCs/>
        </w:rPr>
      </w:pPr>
      <w:r w:rsidRPr="00674CD1">
        <w:rPr>
          <w:rFonts w:ascii="Calibri" w:eastAsia="SimSun" w:hAnsi="Calibri" w:cs="Calibri"/>
          <w:b/>
        </w:rPr>
        <w:t>Proposal 7: Study beam adjustment reporting in msg. 3 of the RACH procedure</w:t>
      </w:r>
      <w:r w:rsidR="00D03C77" w:rsidRPr="00674CD1">
        <w:rPr>
          <w:rFonts w:ascii="Calibri" w:hAnsi="Calibri" w:cs="Calibri"/>
          <w:b/>
          <w:bCs/>
        </w:rPr>
        <w:t>.</w:t>
      </w:r>
    </w:p>
    <w:p w14:paraId="304CCB43" w14:textId="5B8EFE12" w:rsidR="00553FC0" w:rsidRPr="00674CD1" w:rsidRDefault="00553FC0" w:rsidP="00674CD1">
      <w:pPr>
        <w:snapToGrid w:val="0"/>
        <w:spacing w:before="0" w:line="264" w:lineRule="auto"/>
        <w:ind w:left="360" w:firstLineChars="0" w:firstLine="0"/>
        <w:contextualSpacing/>
        <w:rPr>
          <w:rFonts w:ascii="Calibri" w:hAnsi="Calibri" w:cs="Calibri"/>
          <w:b/>
          <w:bCs/>
        </w:rPr>
      </w:pPr>
      <w:r w:rsidRPr="00674CD1">
        <w:rPr>
          <w:rFonts w:ascii="Calibri" w:hAnsi="Calibri" w:cs="Calibri"/>
          <w:b/>
        </w:rPr>
        <w:t>Proposal 8: The presence of SS block indices in msg. 3 can be indicated to the UE</w:t>
      </w:r>
    </w:p>
    <w:p w14:paraId="0EAC8264" w14:textId="77777777" w:rsidR="00682F0E" w:rsidRPr="00674CD1" w:rsidRDefault="00682F0E" w:rsidP="00682F0E">
      <w:pPr>
        <w:rPr>
          <w:rFonts w:ascii="Calibri" w:hAnsi="Calibri" w:cs="Calibri"/>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76117D6F" w14:textId="1766C8F7" w:rsidR="00E53F67"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5D387B74" w14:textId="1222DC2B" w:rsidR="00DE1A6A" w:rsidRPr="00DE1A6A" w:rsidRDefault="00DE1A6A" w:rsidP="00DE1A6A">
      <w:pPr>
        <w:spacing w:before="0" w:after="0" w:line="240" w:lineRule="auto"/>
        <w:ind w:firstLineChars="0" w:firstLine="0"/>
        <w:jc w:val="left"/>
        <w:rPr>
          <w:rFonts w:ascii="Calibri" w:hAnsi="Calibri" w:cs="Calibri"/>
        </w:rPr>
      </w:pPr>
      <w:r>
        <w:rPr>
          <w:rFonts w:ascii="Calibri" w:hAnsi="Calibri" w:cs="Calibri"/>
          <w:lang w:val="en-GB"/>
        </w:rPr>
        <w:t xml:space="preserve">  </w:t>
      </w:r>
      <w:r w:rsidRPr="00E53F67">
        <w:rPr>
          <w:rFonts w:ascii="Calibri" w:hAnsi="Calibri" w:cs="Calibri"/>
        </w:rPr>
        <w:t>[2] Chairman’s notes, RAN1#10</w:t>
      </w:r>
      <w:r>
        <w:rPr>
          <w:rFonts w:ascii="Calibri" w:hAnsi="Calibri" w:cs="Calibri"/>
        </w:rPr>
        <w:t>2</w:t>
      </w:r>
      <w:r w:rsidRPr="00E53F67">
        <w:rPr>
          <w:rFonts w:ascii="Calibri" w:hAnsi="Calibri" w:cs="Calibri"/>
        </w:rPr>
        <w:t xml:space="preserve">e, e-meeting, </w:t>
      </w:r>
      <w:r>
        <w:rPr>
          <w:rFonts w:ascii="Calibri" w:hAnsi="Calibri" w:cs="Calibri"/>
        </w:rPr>
        <w:t>August</w:t>
      </w:r>
      <w:r w:rsidRPr="00E53F67">
        <w:rPr>
          <w:rFonts w:ascii="Calibri" w:hAnsi="Calibri" w:cs="Calibri"/>
        </w:rPr>
        <w:t xml:space="preserve"> </w:t>
      </w:r>
      <w:r>
        <w:rPr>
          <w:rFonts w:ascii="Calibri" w:hAnsi="Calibri" w:cs="Calibri"/>
        </w:rPr>
        <w:t>17</w:t>
      </w:r>
      <w:r w:rsidRPr="00E53F67">
        <w:rPr>
          <w:rFonts w:ascii="Calibri" w:hAnsi="Calibri" w:cs="Calibri"/>
          <w:vertAlign w:val="superscript"/>
        </w:rPr>
        <w:t>th</w:t>
      </w:r>
      <w:r w:rsidRPr="00E53F67">
        <w:rPr>
          <w:rFonts w:ascii="Calibri" w:hAnsi="Calibri" w:cs="Calibri"/>
        </w:rPr>
        <w:t>-</w:t>
      </w:r>
      <w:r>
        <w:rPr>
          <w:rFonts w:ascii="Calibri" w:hAnsi="Calibri" w:cs="Calibri"/>
        </w:rPr>
        <w:t xml:space="preserve"> </w:t>
      </w:r>
      <w:r>
        <w:rPr>
          <w:rFonts w:ascii="Calibri" w:hAnsi="Calibri" w:cs="Calibri"/>
        </w:rPr>
        <w:t>28</w:t>
      </w:r>
      <w:r w:rsidRPr="00B97CFE">
        <w:rPr>
          <w:rFonts w:ascii="Calibri" w:hAnsi="Calibri" w:cs="Calibri"/>
          <w:vertAlign w:val="superscript"/>
        </w:rPr>
        <w:t>th</w:t>
      </w:r>
      <w:r w:rsidRPr="00E53F67">
        <w:rPr>
          <w:rFonts w:ascii="Calibri" w:hAnsi="Calibri" w:cs="Calibri"/>
        </w:rPr>
        <w:t xml:space="preserve">, 2020 </w:t>
      </w:r>
    </w:p>
    <w:p w14:paraId="017BD647" w14:textId="3A679709" w:rsidR="002A49FA" w:rsidRPr="00E53F67" w:rsidRDefault="00E53F67" w:rsidP="00E53F67">
      <w:pPr>
        <w:spacing w:before="0" w:after="0" w:line="240" w:lineRule="auto"/>
        <w:ind w:firstLineChars="0" w:firstLine="0"/>
        <w:jc w:val="left"/>
        <w:rPr>
          <w:rFonts w:ascii="Calibri" w:hAnsi="Calibri" w:cs="Calibri"/>
        </w:rPr>
      </w:pPr>
      <w:r>
        <w:rPr>
          <w:rFonts w:ascii="Calibri" w:hAnsi="Calibri" w:cs="Calibri"/>
        </w:rPr>
        <w:t xml:space="preserve">  </w:t>
      </w:r>
      <w:r w:rsidR="00682F0E" w:rsidRPr="00E53F67">
        <w:rPr>
          <w:rFonts w:ascii="Calibri" w:hAnsi="Calibri" w:cs="Calibri"/>
        </w:rPr>
        <w:t>[</w:t>
      </w:r>
      <w:r w:rsidR="00DE1A6A">
        <w:rPr>
          <w:rFonts w:ascii="Calibri" w:hAnsi="Calibri" w:cs="Calibri"/>
        </w:rPr>
        <w:t>3</w:t>
      </w:r>
      <w:r w:rsidR="00682F0E" w:rsidRPr="00E53F67">
        <w:rPr>
          <w:rFonts w:ascii="Calibri" w:hAnsi="Calibri" w:cs="Calibri"/>
        </w:rPr>
        <w:t>] Chairman’s notes, RAN1#10</w:t>
      </w:r>
      <w:r w:rsidR="00B97CFE">
        <w:rPr>
          <w:rFonts w:ascii="Calibri" w:hAnsi="Calibri" w:cs="Calibri"/>
        </w:rPr>
        <w:t>3</w:t>
      </w:r>
      <w:r w:rsidR="00682F0E" w:rsidRPr="00E53F67">
        <w:rPr>
          <w:rFonts w:ascii="Calibri" w:hAnsi="Calibri" w:cs="Calibri"/>
        </w:rPr>
        <w:t xml:space="preserve">e, e-meeting, </w:t>
      </w:r>
      <w:r w:rsidR="00B97CFE">
        <w:rPr>
          <w:rFonts w:ascii="Calibri" w:hAnsi="Calibri" w:cs="Calibri"/>
        </w:rPr>
        <w:t>October</w:t>
      </w:r>
      <w:r w:rsidR="00682F0E" w:rsidRPr="00E53F67">
        <w:rPr>
          <w:rFonts w:ascii="Calibri" w:hAnsi="Calibri" w:cs="Calibri"/>
        </w:rPr>
        <w:t xml:space="preserve"> </w:t>
      </w:r>
      <w:r w:rsidR="00B97CFE">
        <w:rPr>
          <w:rFonts w:ascii="Calibri" w:hAnsi="Calibri" w:cs="Calibri"/>
        </w:rPr>
        <w:t>26</w:t>
      </w:r>
      <w:r w:rsidR="00682F0E" w:rsidRPr="00E53F67">
        <w:rPr>
          <w:rFonts w:ascii="Calibri" w:hAnsi="Calibri" w:cs="Calibri"/>
          <w:vertAlign w:val="superscript"/>
        </w:rPr>
        <w:t>th</w:t>
      </w:r>
      <w:r w:rsidR="00682F0E" w:rsidRPr="00E53F67">
        <w:rPr>
          <w:rFonts w:ascii="Calibri" w:hAnsi="Calibri" w:cs="Calibri"/>
        </w:rPr>
        <w:t>-</w:t>
      </w:r>
      <w:r w:rsidR="00B97CFE">
        <w:rPr>
          <w:rFonts w:ascii="Calibri" w:hAnsi="Calibri" w:cs="Calibri"/>
        </w:rPr>
        <w:t>November 13</w:t>
      </w:r>
      <w:r w:rsidR="00B97CFE" w:rsidRPr="00B97CFE">
        <w:rPr>
          <w:rFonts w:ascii="Calibri" w:hAnsi="Calibri" w:cs="Calibri"/>
          <w:vertAlign w:val="superscript"/>
        </w:rPr>
        <w:t>th</w:t>
      </w:r>
      <w:r w:rsidR="00682F0E" w:rsidRPr="00E53F67">
        <w:rPr>
          <w:rFonts w:ascii="Calibri" w:hAnsi="Calibri" w:cs="Calibri"/>
        </w:rPr>
        <w:t xml:space="preserve">, 2020 </w:t>
      </w: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8F198" w14:textId="77777777" w:rsidR="00B12D2B" w:rsidRDefault="00B12D2B" w:rsidP="007378B8">
      <w:r>
        <w:separator/>
      </w:r>
    </w:p>
  </w:endnote>
  <w:endnote w:type="continuationSeparator" w:id="0">
    <w:p w14:paraId="750B0FA7" w14:textId="77777777" w:rsidR="00B12D2B" w:rsidRDefault="00B12D2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㳋쥿"/>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8668C" w14:textId="77777777" w:rsidR="00B12D2B" w:rsidRDefault="00B12D2B" w:rsidP="007378B8">
      <w:r>
        <w:separator/>
      </w:r>
    </w:p>
  </w:footnote>
  <w:footnote w:type="continuationSeparator" w:id="0">
    <w:p w14:paraId="0675DB9E" w14:textId="77777777" w:rsidR="00B12D2B" w:rsidRDefault="00B12D2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D32AC9"/>
    <w:multiLevelType w:val="hybridMultilevel"/>
    <w:tmpl w:val="34286A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897D68"/>
    <w:multiLevelType w:val="hybridMultilevel"/>
    <w:tmpl w:val="C30AE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0F6A00DE"/>
    <w:multiLevelType w:val="hybridMultilevel"/>
    <w:tmpl w:val="AFDC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CC3"/>
    <w:multiLevelType w:val="hybridMultilevel"/>
    <w:tmpl w:val="598A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3F5671"/>
    <w:multiLevelType w:val="hybridMultilevel"/>
    <w:tmpl w:val="03D6A884"/>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865967"/>
    <w:multiLevelType w:val="hybridMultilevel"/>
    <w:tmpl w:val="46F0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FA0E6E"/>
    <w:multiLevelType w:val="hybridMultilevel"/>
    <w:tmpl w:val="7E60A53E"/>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22"/>
  </w:num>
  <w:num w:numId="4">
    <w:abstractNumId w:val="34"/>
  </w:num>
  <w:num w:numId="5">
    <w:abstractNumId w:val="2"/>
  </w:num>
  <w:num w:numId="6">
    <w:abstractNumId w:val="14"/>
  </w:num>
  <w:num w:numId="7">
    <w:abstractNumId w:val="40"/>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6"/>
  </w:num>
  <w:num w:numId="12">
    <w:abstractNumId w:val="35"/>
  </w:num>
  <w:num w:numId="13">
    <w:abstractNumId w:val="6"/>
  </w:num>
  <w:num w:numId="14">
    <w:abstractNumId w:val="16"/>
  </w:num>
  <w:num w:numId="15">
    <w:abstractNumId w:val="27"/>
  </w:num>
  <w:num w:numId="16">
    <w:abstractNumId w:val="13"/>
  </w:num>
  <w:num w:numId="17">
    <w:abstractNumId w:val="11"/>
  </w:num>
  <w:num w:numId="18">
    <w:abstractNumId w:val="15"/>
  </w:num>
  <w:num w:numId="19">
    <w:abstractNumId w:val="0"/>
  </w:num>
  <w:num w:numId="20">
    <w:abstractNumId w:val="28"/>
  </w:num>
  <w:num w:numId="21">
    <w:abstractNumId w:val="30"/>
  </w:num>
  <w:num w:numId="22">
    <w:abstractNumId w:val="26"/>
    <w:lvlOverride w:ilvl="0"/>
    <w:lvlOverride w:ilvl="1">
      <w:startOverride w:val="1"/>
    </w:lvlOverride>
    <w:lvlOverride w:ilvl="2"/>
    <w:lvlOverride w:ilvl="3"/>
    <w:lvlOverride w:ilvl="4"/>
    <w:lvlOverride w:ilvl="5"/>
    <w:lvlOverride w:ilvl="6"/>
    <w:lvlOverride w:ilvl="7"/>
    <w:lvlOverride w:ilvl="8"/>
  </w:num>
  <w:num w:numId="23">
    <w:abstractNumId w:val="29"/>
  </w:num>
  <w:num w:numId="24">
    <w:abstractNumId w:val="21"/>
  </w:num>
  <w:num w:numId="25">
    <w:abstractNumId w:val="26"/>
  </w:num>
  <w:num w:numId="26">
    <w:abstractNumId w:val="5"/>
  </w:num>
  <w:num w:numId="27">
    <w:abstractNumId w:val="4"/>
  </w:num>
  <w:num w:numId="28">
    <w:abstractNumId w:val="33"/>
  </w:num>
  <w:num w:numId="29">
    <w:abstractNumId w:val="24"/>
  </w:num>
  <w:num w:numId="30">
    <w:abstractNumId w:val="31"/>
  </w:num>
  <w:num w:numId="31">
    <w:abstractNumId w:val="43"/>
  </w:num>
  <w:num w:numId="32">
    <w:abstractNumId w:val="41"/>
  </w:num>
  <w:num w:numId="33">
    <w:abstractNumId w:val="37"/>
  </w:num>
  <w:num w:numId="34">
    <w:abstractNumId w:val="38"/>
  </w:num>
  <w:num w:numId="35">
    <w:abstractNumId w:val="23"/>
  </w:num>
  <w:num w:numId="36">
    <w:abstractNumId w:val="12"/>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2"/>
  </w:num>
  <w:num w:numId="40">
    <w:abstractNumId w:val="19"/>
  </w:num>
  <w:num w:numId="41">
    <w:abstractNumId w:val="9"/>
  </w:num>
  <w:num w:numId="42">
    <w:abstractNumId w:val="39"/>
  </w:num>
  <w:num w:numId="43">
    <w:abstractNumId w:val="8"/>
  </w:num>
  <w:num w:numId="44">
    <w:abstractNumId w:val="7"/>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7A3"/>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5DFB"/>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5D"/>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A15"/>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5A9"/>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72C"/>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CC3"/>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498"/>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717"/>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2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C9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2E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6FFC"/>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8D1"/>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599"/>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597"/>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B1"/>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8D"/>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4F"/>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408"/>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D1"/>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7B9"/>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22"/>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3F"/>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327"/>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60C"/>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730"/>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8D0"/>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99D"/>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6D6"/>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109"/>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7A4"/>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6E6A"/>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89D"/>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97D38"/>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48F8"/>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4C"/>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CB9"/>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3F9"/>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EBB"/>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D2B"/>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5DC"/>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A0C"/>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CFE"/>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1E1"/>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322"/>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56"/>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A6A"/>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6"/>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1"/>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5ED2"/>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52F"/>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题注"/>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 w:type="paragraph" w:customStyle="1" w:styleId="Proposal">
    <w:name w:val="Proposal"/>
    <w:basedOn w:val="BodyText"/>
    <w:link w:val="ProposalChar"/>
    <w:qFormat/>
    <w:rsid w:val="005918D1"/>
    <w:pPr>
      <w:numPr>
        <w:numId w:val="38"/>
      </w:numPr>
      <w:tabs>
        <w:tab w:val="clear" w:pos="1304"/>
        <w:tab w:val="left" w:pos="1701"/>
      </w:tabs>
      <w:spacing w:before="0" w:line="259" w:lineRule="auto"/>
      <w:ind w:left="1701" w:firstLineChars="0" w:hanging="1701"/>
    </w:pPr>
    <w:rPr>
      <w:rFonts w:ascii="Arial" w:eastAsiaTheme="minorHAnsi" w:hAnsi="Arial" w:cstheme="minorBidi"/>
      <w:b/>
      <w:bCs/>
      <w:szCs w:val="22"/>
      <w:lang w:eastAsia="zh-CN"/>
    </w:rPr>
  </w:style>
  <w:style w:type="paragraph" w:customStyle="1" w:styleId="Observation">
    <w:name w:val="Observation"/>
    <w:basedOn w:val="Proposal"/>
    <w:qFormat/>
    <w:rsid w:val="005918D1"/>
    <w:pPr>
      <w:numPr>
        <w:numId w:val="39"/>
      </w:numPr>
      <w:ind w:left="1701" w:hanging="1701"/>
    </w:pPr>
    <w:rPr>
      <w:lang w:eastAsia="ja-JP"/>
    </w:rPr>
  </w:style>
  <w:style w:type="character" w:customStyle="1" w:styleId="ProposalChar">
    <w:name w:val="Proposal Char"/>
    <w:basedOn w:val="DefaultParagraphFont"/>
    <w:link w:val="Proposal"/>
    <w:qFormat/>
    <w:rsid w:val="005918D1"/>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2296</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15354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2</cp:revision>
  <dcterms:created xsi:type="dcterms:W3CDTF">2021-01-18T17:56:00Z</dcterms:created>
  <dcterms:modified xsi:type="dcterms:W3CDTF">2021-01-18T17:56:00Z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